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2340"/>
        </w:tabs>
        <w:spacing w:line="480" w:lineRule="auto"/>
        <w:jc w:val="center"/>
        <w:rPr>
          <w:rFonts w:ascii="黑体" w:hAnsi="黑体" w:eastAsia="黑体"/>
          <w:b/>
          <w:bCs/>
          <w:sz w:val="32"/>
        </w:rPr>
      </w:pPr>
      <w:r>
        <w:rPr>
          <w:rFonts w:hint="eastAsia" w:ascii="黑体" w:hAnsi="黑体" w:eastAsia="黑体"/>
          <w:b/>
          <w:bCs/>
          <w:sz w:val="32"/>
        </w:rPr>
        <w:t>配件技术要求</w:t>
      </w:r>
    </w:p>
    <w:p>
      <w:pPr>
        <w:tabs>
          <w:tab w:val="left" w:pos="2340"/>
        </w:tabs>
        <w:spacing w:line="480" w:lineRule="auto"/>
        <w:jc w:val="center"/>
        <w:rPr>
          <w:rFonts w:ascii="黑体" w:hAnsi="黑体" w:eastAsia="黑体"/>
          <w:b/>
          <w:bCs/>
          <w:sz w:val="32"/>
        </w:rPr>
      </w:pPr>
    </w:p>
    <w:p>
      <w:pPr>
        <w:tabs>
          <w:tab w:val="left" w:pos="2340"/>
        </w:tabs>
        <w:spacing w:line="480" w:lineRule="auto"/>
        <w:ind w:firstLine="840" w:firstLineChars="350"/>
        <w:jc w:val="left"/>
        <w:rPr>
          <w:rFonts w:ascii="宋体"/>
          <w:sz w:val="24"/>
        </w:rPr>
      </w:pPr>
      <w:bookmarkStart w:id="0" w:name="_Toc356204538"/>
      <w:bookmarkStart w:id="1" w:name="_Toc357082526"/>
      <w:r>
        <w:rPr>
          <w:rFonts w:hint="eastAsia" w:ascii="宋体"/>
          <w:sz w:val="24"/>
        </w:rPr>
        <w:t>第一节 供货范围、技术规格、参数与要求</w:t>
      </w:r>
    </w:p>
    <w:p>
      <w:pPr>
        <w:tabs>
          <w:tab w:val="left" w:pos="2340"/>
        </w:tabs>
        <w:spacing w:line="480" w:lineRule="auto"/>
        <w:ind w:firstLine="840" w:firstLineChars="350"/>
        <w:jc w:val="left"/>
        <w:rPr>
          <w:rFonts w:ascii="宋体"/>
          <w:sz w:val="24"/>
        </w:rPr>
      </w:pPr>
      <w:r>
        <w:rPr>
          <w:rFonts w:hint="eastAsia" w:ascii="宋体"/>
          <w:sz w:val="24"/>
        </w:rPr>
        <w:t>第二节 出厂前检验与交货验收</w:t>
      </w:r>
    </w:p>
    <w:p>
      <w:pPr>
        <w:tabs>
          <w:tab w:val="left" w:pos="2340"/>
        </w:tabs>
        <w:spacing w:line="480" w:lineRule="auto"/>
        <w:ind w:firstLine="840" w:firstLineChars="350"/>
        <w:jc w:val="left"/>
        <w:rPr>
          <w:rFonts w:ascii="宋体"/>
          <w:sz w:val="24"/>
        </w:rPr>
      </w:pPr>
      <w:r>
        <w:rPr>
          <w:rFonts w:hint="eastAsia" w:ascii="宋体"/>
          <w:sz w:val="24"/>
        </w:rPr>
        <w:t>第三节 质量保证</w:t>
      </w:r>
    </w:p>
    <w:p>
      <w:pPr>
        <w:tabs>
          <w:tab w:val="left" w:pos="2340"/>
        </w:tabs>
        <w:spacing w:line="480" w:lineRule="auto"/>
        <w:ind w:firstLine="840" w:firstLineChars="350"/>
        <w:jc w:val="left"/>
      </w:pPr>
      <w:r>
        <w:rPr>
          <w:rFonts w:hint="eastAsia" w:ascii="宋体"/>
          <w:sz w:val="24"/>
        </w:rPr>
        <w:t>第四节 标准</w:t>
      </w:r>
      <w:r>
        <w:br w:type="page"/>
      </w:r>
    </w:p>
    <w:p>
      <w:pPr>
        <w:tabs>
          <w:tab w:val="left" w:pos="2340"/>
        </w:tabs>
        <w:spacing w:line="480" w:lineRule="auto"/>
        <w:jc w:val="center"/>
        <w:rPr>
          <w:rFonts w:ascii="黑体" w:hAnsi="黑体" w:eastAsia="黑体"/>
          <w:b/>
          <w:bCs/>
          <w:sz w:val="32"/>
        </w:rPr>
      </w:pPr>
      <w:r>
        <w:rPr>
          <w:rFonts w:hint="eastAsia" w:ascii="黑体" w:hAnsi="黑体" w:eastAsia="黑体"/>
          <w:b/>
          <w:bCs/>
          <w:sz w:val="32"/>
        </w:rPr>
        <w:t>第一节 供货范围、技术规格、参数与要求</w:t>
      </w:r>
      <w:bookmarkEnd w:id="0"/>
      <w:bookmarkEnd w:id="1"/>
    </w:p>
    <w:p>
      <w:pPr>
        <w:adjustRightInd w:val="0"/>
        <w:snapToGrid w:val="0"/>
        <w:spacing w:beforeLines="100" w:afterLines="100" w:line="360" w:lineRule="auto"/>
        <w:ind w:left="2246" w:leftChars="-5" w:hanging="2256" w:hangingChars="1070"/>
        <w:rPr>
          <w:b/>
          <w:szCs w:val="21"/>
        </w:rPr>
      </w:pPr>
      <w:r>
        <w:rPr>
          <w:rFonts w:hint="eastAsia"/>
          <w:b/>
          <w:szCs w:val="21"/>
        </w:rPr>
        <w:t>一、货物需求一览表</w:t>
      </w:r>
    </w:p>
    <w:tbl>
      <w:tblPr>
        <w:tblStyle w:val="15"/>
        <w:tblW w:w="97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66"/>
        <w:gridCol w:w="1985"/>
        <w:gridCol w:w="1843"/>
        <w:gridCol w:w="567"/>
        <w:gridCol w:w="850"/>
        <w:gridCol w:w="1701"/>
        <w:gridCol w:w="1276"/>
        <w:gridCol w:w="9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54" w:hRule="atLeast"/>
          <w:jc w:val="center"/>
        </w:trPr>
        <w:tc>
          <w:tcPr>
            <w:tcW w:w="56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hAnsi="Arial" w:eastAsia="Arial"/>
                <w:b/>
              </w:rPr>
            </w:pPr>
            <w:r>
              <w:rPr>
                <w:rFonts w:ascii="宋体" w:hAnsi="宋体"/>
                <w:b/>
              </w:rPr>
              <w:t>序</w:t>
            </w:r>
            <w:r>
              <w:rPr>
                <w:rFonts w:hint="eastAsia" w:ascii="宋体" w:hAnsi="宋体"/>
                <w:b/>
              </w:rPr>
              <w:t>号</w:t>
            </w:r>
          </w:p>
        </w:tc>
        <w:tc>
          <w:tcPr>
            <w:tcW w:w="198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hAnsi="Arial" w:eastAsia="Arial"/>
                <w:b/>
              </w:rPr>
            </w:pPr>
            <w:r>
              <w:rPr>
                <w:rFonts w:ascii="宋体" w:hAnsi="宋体"/>
                <w:b/>
              </w:rPr>
              <w:t>名称</w:t>
            </w:r>
          </w:p>
        </w:tc>
        <w:tc>
          <w:tcPr>
            <w:tcW w:w="1843"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b/>
              </w:rPr>
            </w:pPr>
            <w:r>
              <w:rPr>
                <w:rFonts w:hint="eastAsia" w:ascii="宋体" w:hAnsi="宋体"/>
                <w:b/>
              </w:rPr>
              <w:t>规格型号</w:t>
            </w:r>
          </w:p>
        </w:tc>
        <w:tc>
          <w:tcPr>
            <w:tcW w:w="567"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hAnsi="Arial" w:eastAsia="Arial"/>
                <w:b/>
              </w:rPr>
            </w:pPr>
            <w:r>
              <w:rPr>
                <w:rFonts w:ascii="宋体" w:hAnsi="宋体"/>
                <w:b/>
              </w:rPr>
              <w:t>单位</w:t>
            </w:r>
          </w:p>
        </w:tc>
        <w:tc>
          <w:tcPr>
            <w:tcW w:w="85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hAnsi="Arial" w:eastAsia="Arial"/>
                <w:b/>
              </w:rPr>
            </w:pPr>
            <w:r>
              <w:rPr>
                <w:rFonts w:ascii="宋体" w:hAnsi="宋体"/>
                <w:b/>
              </w:rPr>
              <w:t>数量</w:t>
            </w:r>
          </w:p>
        </w:tc>
        <w:tc>
          <w:tcPr>
            <w:tcW w:w="1701"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b/>
              </w:rPr>
            </w:pPr>
            <w:r>
              <w:rPr>
                <w:rFonts w:hint="eastAsia" w:ascii="宋体" w:hAnsi="宋体"/>
                <w:b/>
              </w:rPr>
              <w:t>交货时间</w:t>
            </w:r>
          </w:p>
        </w:tc>
        <w:tc>
          <w:tcPr>
            <w:tcW w:w="127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b/>
              </w:rPr>
            </w:pPr>
            <w:r>
              <w:rPr>
                <w:rFonts w:hint="eastAsia" w:ascii="宋体" w:hAnsi="宋体"/>
                <w:b/>
              </w:rPr>
              <w:t>交货地点</w:t>
            </w:r>
          </w:p>
        </w:tc>
        <w:tc>
          <w:tcPr>
            <w:tcW w:w="933"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hAnsi="Arial" w:eastAsia="Arial"/>
                <w:b/>
              </w:rPr>
            </w:pPr>
            <w:r>
              <w:rPr>
                <w:rFonts w:ascii="宋体" w:hAnsi="宋体"/>
                <w:b/>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54" w:hRule="atLeast"/>
          <w:jc w:val="center"/>
        </w:trPr>
        <w:tc>
          <w:tcPr>
            <w:tcW w:w="56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1</w:t>
            </w:r>
          </w:p>
        </w:tc>
        <w:tc>
          <w:tcPr>
            <w:tcW w:w="198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rPr>
                <w:rFonts w:ascii="宋体" w:hAnsi="宋体"/>
                <w:szCs w:val="21"/>
              </w:rPr>
            </w:pPr>
            <w:r>
              <w:rPr>
                <w:rFonts w:hint="eastAsia" w:ascii="宋体" w:hAnsi="宋体"/>
                <w:szCs w:val="21"/>
              </w:rPr>
              <w:t>一级陶瓷刮板清扫器</w:t>
            </w:r>
          </w:p>
        </w:tc>
        <w:tc>
          <w:tcPr>
            <w:tcW w:w="1843"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DCR-T18-1600</w:t>
            </w:r>
          </w:p>
        </w:tc>
        <w:tc>
          <w:tcPr>
            <w:tcW w:w="567"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套</w:t>
            </w:r>
          </w:p>
        </w:tc>
        <w:tc>
          <w:tcPr>
            <w:tcW w:w="85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hAnsi="宋体" w:eastAsia="宋体"/>
                <w:szCs w:val="21"/>
                <w:lang w:val="en-US" w:eastAsia="zh-CN"/>
              </w:rPr>
            </w:pPr>
            <w:r>
              <w:rPr>
                <w:rFonts w:hint="eastAsia" w:ascii="宋体" w:hAnsi="宋体"/>
                <w:szCs w:val="21"/>
                <w:lang w:val="en-US" w:eastAsia="zh-CN"/>
              </w:rPr>
              <w:t>6</w:t>
            </w:r>
            <w:bookmarkStart w:id="4" w:name="_GoBack"/>
            <w:bookmarkEnd w:id="4"/>
          </w:p>
        </w:tc>
        <w:tc>
          <w:tcPr>
            <w:tcW w:w="1701" w:type="dxa"/>
            <w:tcBorders>
              <w:top w:val="single" w:color="auto" w:sz="4" w:space="0"/>
              <w:left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自合同签订之日起30日内交货</w:t>
            </w:r>
          </w:p>
        </w:tc>
        <w:tc>
          <w:tcPr>
            <w:tcW w:w="127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hAnsi="宋体" w:eastAsia="宋体"/>
                <w:szCs w:val="21"/>
                <w:lang w:eastAsia="zh-CN"/>
              </w:rPr>
            </w:pPr>
            <w:r>
              <w:rPr>
                <w:rFonts w:hint="eastAsia" w:ascii="宋体" w:hAnsi="宋体"/>
                <w:szCs w:val="21"/>
                <w:lang w:eastAsia="zh-CN"/>
              </w:rPr>
              <w:t>大柳塔煤矿材料组</w:t>
            </w:r>
          </w:p>
        </w:tc>
        <w:tc>
          <w:tcPr>
            <w:tcW w:w="933"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hAnsi="宋体" w:eastAsia="宋体"/>
                <w:szCs w:val="21"/>
                <w:lang w:val="en-US" w:eastAsia="zh-CN"/>
              </w:rPr>
            </w:pPr>
            <w:r>
              <w:rPr>
                <w:rFonts w:hint="eastAsia" w:ascii="宋体" w:hAnsi="宋体"/>
                <w:szCs w:val="21"/>
                <w:lang w:val="en-US" w:eastAsia="zh-CN"/>
              </w:rPr>
              <w:t>11514844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56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2</w:t>
            </w:r>
          </w:p>
        </w:tc>
        <w:tc>
          <w:tcPr>
            <w:tcW w:w="198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技术资料</w:t>
            </w:r>
          </w:p>
        </w:tc>
        <w:tc>
          <w:tcPr>
            <w:tcW w:w="1843"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567"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套/台</w:t>
            </w:r>
          </w:p>
        </w:tc>
        <w:tc>
          <w:tcPr>
            <w:tcW w:w="85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hAnsi="宋体" w:eastAsia="宋体"/>
                <w:szCs w:val="21"/>
                <w:lang w:val="en-US" w:eastAsia="zh-CN"/>
              </w:rPr>
            </w:pPr>
            <w:r>
              <w:rPr>
                <w:rFonts w:hint="eastAsia" w:ascii="宋体" w:hAnsi="宋体"/>
                <w:szCs w:val="21"/>
                <w:lang w:val="en-US" w:eastAsia="zh-CN"/>
              </w:rPr>
              <w:t>6</w:t>
            </w:r>
          </w:p>
        </w:tc>
        <w:tc>
          <w:tcPr>
            <w:tcW w:w="1701" w:type="dxa"/>
            <w:tcBorders>
              <w:left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自合同签订之日起30日内交货</w:t>
            </w:r>
          </w:p>
        </w:tc>
        <w:tc>
          <w:tcPr>
            <w:tcW w:w="127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hAnsi="宋体" w:eastAsia="宋体"/>
                <w:szCs w:val="21"/>
                <w:lang w:eastAsia="zh-CN"/>
              </w:rPr>
            </w:pPr>
            <w:r>
              <w:rPr>
                <w:rFonts w:hint="eastAsia" w:ascii="宋体" w:hAnsi="宋体"/>
                <w:szCs w:val="21"/>
                <w:lang w:eastAsia="zh-CN"/>
              </w:rPr>
              <w:t>大柳塔煤矿材料组</w:t>
            </w:r>
          </w:p>
        </w:tc>
        <w:tc>
          <w:tcPr>
            <w:tcW w:w="933"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bl>
    <w:p>
      <w:pPr>
        <w:adjustRightInd w:val="0"/>
        <w:snapToGrid w:val="0"/>
        <w:spacing w:beforeLines="100" w:afterLines="100" w:line="360" w:lineRule="auto"/>
        <w:rPr>
          <w:b/>
          <w:szCs w:val="21"/>
        </w:rPr>
      </w:pPr>
      <w:r>
        <w:rPr>
          <w:rFonts w:hint="eastAsia"/>
          <w:b/>
          <w:szCs w:val="21"/>
        </w:rPr>
        <w:t>二、工作环境</w:t>
      </w:r>
    </w:p>
    <w:p>
      <w:pPr>
        <w:adjustRightInd w:val="0"/>
        <w:snapToGrid w:val="0"/>
        <w:spacing w:line="360" w:lineRule="auto"/>
        <w:rPr>
          <w:rFonts w:ascii="宋体" w:hAnsi="宋体"/>
          <w:szCs w:val="21"/>
        </w:rPr>
      </w:pPr>
      <w:r>
        <w:rPr>
          <w:rFonts w:hint="eastAsia" w:ascii="宋体" w:hAnsi="宋体"/>
          <w:szCs w:val="21"/>
        </w:rPr>
        <w:t>1. 工作环境</w:t>
      </w:r>
    </w:p>
    <w:p>
      <w:pPr>
        <w:adjustRightInd w:val="0"/>
        <w:snapToGrid w:val="0"/>
        <w:spacing w:line="360" w:lineRule="auto"/>
        <w:ind w:left="707" w:leftChars="135" w:hanging="424" w:hangingChars="202"/>
        <w:rPr>
          <w:rFonts w:ascii="宋体" w:hAnsi="宋体"/>
          <w:szCs w:val="21"/>
        </w:rPr>
      </w:pPr>
      <w:r>
        <w:rPr>
          <w:rFonts w:hint="eastAsia" w:ascii="宋体"/>
          <w:bCs/>
          <w:szCs w:val="21"/>
        </w:rPr>
        <w:t>在含有大量煤尘、较为潮湿的选煤厂室内使用。</w:t>
      </w:r>
    </w:p>
    <w:p>
      <w:pPr>
        <w:adjustRightInd w:val="0"/>
        <w:snapToGrid w:val="0"/>
        <w:spacing w:line="360" w:lineRule="auto"/>
        <w:ind w:left="707" w:leftChars="135" w:hanging="424" w:hangingChars="202"/>
        <w:rPr>
          <w:rFonts w:ascii="宋体" w:hAnsi="宋体"/>
          <w:sz w:val="21"/>
          <w:szCs w:val="21"/>
        </w:rPr>
      </w:pPr>
      <w:r>
        <w:rPr>
          <w:rFonts w:hint="eastAsia" w:ascii="宋体" w:hAnsi="宋体"/>
          <w:sz w:val="21"/>
          <w:szCs w:val="21"/>
        </w:rPr>
        <w:t>最高温度：</w:t>
      </w:r>
      <w:r>
        <w:rPr>
          <w:rFonts w:hint="eastAsia" w:ascii="宋体" w:hAnsi="宋体"/>
          <w:sz w:val="21"/>
          <w:szCs w:val="21"/>
          <w:u w:val="single"/>
        </w:rPr>
        <w:t xml:space="preserve">   +40℃     </w:t>
      </w:r>
      <w:r>
        <w:rPr>
          <w:rFonts w:hint="eastAsia" w:ascii="宋体" w:hAnsi="宋体"/>
          <w:sz w:val="21"/>
          <w:szCs w:val="21"/>
        </w:rPr>
        <w:t>。</w:t>
      </w:r>
    </w:p>
    <w:p>
      <w:pPr>
        <w:adjustRightInd w:val="0"/>
        <w:snapToGrid w:val="0"/>
        <w:spacing w:line="360" w:lineRule="auto"/>
        <w:ind w:left="707" w:leftChars="135" w:hanging="424" w:hangingChars="202"/>
        <w:rPr>
          <w:rFonts w:ascii="宋体" w:hAnsi="宋体"/>
          <w:sz w:val="21"/>
          <w:szCs w:val="21"/>
        </w:rPr>
      </w:pPr>
      <w:r>
        <w:rPr>
          <w:rFonts w:hint="eastAsia" w:ascii="宋体" w:hAnsi="宋体"/>
          <w:sz w:val="21"/>
          <w:szCs w:val="21"/>
        </w:rPr>
        <w:t>最低温度：</w:t>
      </w:r>
      <w:r>
        <w:rPr>
          <w:rFonts w:hint="eastAsia" w:ascii="宋体" w:hAnsi="宋体"/>
          <w:sz w:val="21"/>
          <w:szCs w:val="21"/>
          <w:u w:val="single"/>
        </w:rPr>
        <w:t xml:space="preserve">   -30℃     </w:t>
      </w:r>
      <w:r>
        <w:rPr>
          <w:rFonts w:hint="eastAsia" w:ascii="宋体" w:hAnsi="宋体"/>
          <w:sz w:val="21"/>
          <w:szCs w:val="21"/>
        </w:rPr>
        <w:t>。</w:t>
      </w:r>
    </w:p>
    <w:p>
      <w:pPr>
        <w:adjustRightInd w:val="0"/>
        <w:snapToGrid w:val="0"/>
        <w:spacing w:line="360" w:lineRule="auto"/>
        <w:ind w:left="707" w:leftChars="135" w:hanging="424" w:hangingChars="202"/>
        <w:rPr>
          <w:rFonts w:ascii="宋体" w:hAnsi="宋体"/>
          <w:sz w:val="21"/>
          <w:szCs w:val="21"/>
        </w:rPr>
      </w:pPr>
      <w:r>
        <w:rPr>
          <w:rFonts w:hint="eastAsia" w:ascii="宋体" w:hAnsi="宋体"/>
          <w:sz w:val="21"/>
          <w:szCs w:val="21"/>
        </w:rPr>
        <w:t>年平均气温：</w:t>
      </w:r>
      <w:r>
        <w:rPr>
          <w:rFonts w:hint="eastAsia" w:ascii="宋体" w:hAnsi="宋体"/>
          <w:sz w:val="21"/>
          <w:szCs w:val="21"/>
          <w:u w:val="single"/>
        </w:rPr>
        <w:t xml:space="preserve">  +15℃    </w:t>
      </w:r>
      <w:r>
        <w:rPr>
          <w:rFonts w:hint="eastAsia" w:ascii="宋体" w:hAnsi="宋体"/>
          <w:sz w:val="21"/>
          <w:szCs w:val="21"/>
        </w:rPr>
        <w:t>。</w:t>
      </w:r>
    </w:p>
    <w:p>
      <w:pPr>
        <w:adjustRightInd w:val="0"/>
        <w:snapToGrid w:val="0"/>
        <w:spacing w:line="360" w:lineRule="auto"/>
        <w:ind w:left="707" w:leftChars="135" w:hanging="424" w:hangingChars="202"/>
        <w:rPr>
          <w:rFonts w:ascii="宋体" w:hAnsi="宋体"/>
          <w:sz w:val="21"/>
          <w:szCs w:val="21"/>
        </w:rPr>
      </w:pPr>
      <w:r>
        <w:rPr>
          <w:rFonts w:hint="eastAsia" w:ascii="宋体" w:hAnsi="宋体"/>
          <w:sz w:val="21"/>
          <w:szCs w:val="21"/>
        </w:rPr>
        <w:t>环境相对湿度：</w:t>
      </w:r>
      <w:r>
        <w:rPr>
          <w:rFonts w:hint="eastAsia" w:ascii="宋体" w:hAnsi="宋体"/>
          <w:spacing w:val="-5"/>
          <w:kern w:val="0"/>
          <w:sz w:val="21"/>
          <w:szCs w:val="21"/>
          <w:u w:val="single"/>
        </w:rPr>
        <w:t>95％</w:t>
      </w:r>
      <w:r>
        <w:rPr>
          <w:rFonts w:hint="eastAsia" w:ascii="宋体" w:hAnsi="宋体"/>
          <w:sz w:val="21"/>
          <w:szCs w:val="21"/>
        </w:rPr>
        <w:t>。</w:t>
      </w:r>
    </w:p>
    <w:p>
      <w:pPr>
        <w:adjustRightInd w:val="0"/>
        <w:snapToGrid w:val="0"/>
        <w:spacing w:line="360" w:lineRule="auto"/>
        <w:ind w:left="707" w:leftChars="135" w:hanging="424" w:hangingChars="202"/>
        <w:rPr>
          <w:rFonts w:ascii="宋体" w:hAnsi="宋体"/>
          <w:sz w:val="21"/>
          <w:szCs w:val="21"/>
        </w:rPr>
      </w:pPr>
      <w:r>
        <w:rPr>
          <w:rFonts w:hint="eastAsia" w:ascii="宋体" w:hAnsi="宋体"/>
          <w:sz w:val="21"/>
          <w:szCs w:val="21"/>
        </w:rPr>
        <w:t>地震烈度：</w:t>
      </w:r>
      <w:r>
        <w:rPr>
          <w:rFonts w:hint="eastAsia" w:ascii="宋体" w:hAnsi="宋体"/>
          <w:sz w:val="21"/>
          <w:szCs w:val="21"/>
          <w:u w:val="single"/>
        </w:rPr>
        <w:t xml:space="preserve">     7级     </w:t>
      </w:r>
      <w:r>
        <w:rPr>
          <w:rFonts w:hint="eastAsia" w:ascii="宋体" w:hAnsi="宋体"/>
          <w:sz w:val="21"/>
          <w:szCs w:val="21"/>
        </w:rPr>
        <w:t>。</w:t>
      </w:r>
    </w:p>
    <w:p>
      <w:pPr>
        <w:adjustRightInd w:val="0"/>
        <w:snapToGrid w:val="0"/>
        <w:spacing w:line="360" w:lineRule="auto"/>
        <w:ind w:left="707" w:leftChars="135" w:hanging="424" w:hangingChars="202"/>
        <w:rPr>
          <w:rFonts w:ascii="宋体" w:hAnsi="宋体"/>
          <w:sz w:val="21"/>
          <w:szCs w:val="21"/>
        </w:rPr>
      </w:pPr>
      <w:r>
        <w:rPr>
          <w:rFonts w:hint="eastAsia" w:ascii="宋体" w:hAnsi="宋体"/>
          <w:sz w:val="21"/>
          <w:szCs w:val="21"/>
        </w:rPr>
        <w:t>海拔高度：</w:t>
      </w:r>
      <w:r>
        <w:rPr>
          <w:rFonts w:hint="eastAsia" w:ascii="宋体" w:hAnsi="宋体"/>
          <w:spacing w:val="-5"/>
          <w:kern w:val="0"/>
          <w:sz w:val="21"/>
          <w:szCs w:val="21"/>
          <w:u w:val="single"/>
        </w:rPr>
        <w:t xml:space="preserve">≤1400m  </w:t>
      </w:r>
      <w:r>
        <w:rPr>
          <w:rFonts w:hint="eastAsia" w:ascii="宋体" w:hAnsi="宋体"/>
          <w:sz w:val="21"/>
          <w:szCs w:val="21"/>
        </w:rPr>
        <w:t>。</w:t>
      </w:r>
    </w:p>
    <w:p>
      <w:pPr>
        <w:adjustRightInd w:val="0"/>
        <w:snapToGrid w:val="0"/>
        <w:spacing w:beforeLines="100" w:afterLines="100" w:line="360" w:lineRule="auto"/>
        <w:rPr>
          <w:b/>
          <w:szCs w:val="21"/>
        </w:rPr>
      </w:pPr>
      <w:r>
        <w:rPr>
          <w:rFonts w:hint="eastAsia"/>
          <w:b/>
          <w:szCs w:val="21"/>
        </w:rPr>
        <w:t>三、技术参数及要求</w:t>
      </w:r>
    </w:p>
    <w:p>
      <w:pPr>
        <w:spacing w:line="360" w:lineRule="auto"/>
        <w:rPr>
          <w:szCs w:val="21"/>
        </w:rPr>
      </w:pPr>
      <w:r>
        <w:rPr>
          <w:rFonts w:ascii="宋体" w:hAnsi="宋体"/>
          <w:szCs w:val="21"/>
        </w:rPr>
        <w:t>1.技术</w:t>
      </w:r>
      <w:r>
        <w:rPr>
          <w:rFonts w:hint="eastAsia"/>
          <w:szCs w:val="21"/>
        </w:rPr>
        <w:t>参数</w:t>
      </w:r>
    </w:p>
    <w:p>
      <w:pPr>
        <w:adjustRightInd w:val="0"/>
        <w:snapToGrid w:val="0"/>
        <w:spacing w:line="360" w:lineRule="auto"/>
        <w:ind w:left="705" w:leftChars="134" w:hanging="424" w:hangingChars="202"/>
        <w:rPr>
          <w:rFonts w:ascii="宋体" w:hAnsi="宋体"/>
          <w:sz w:val="21"/>
          <w:szCs w:val="21"/>
        </w:rPr>
      </w:pPr>
      <w:r>
        <w:rPr>
          <w:rFonts w:hint="eastAsia" w:ascii="宋体" w:hAnsi="宋体"/>
          <w:sz w:val="21"/>
          <w:szCs w:val="21"/>
        </w:rPr>
        <w:t>1.1.</w:t>
      </w:r>
      <w:r>
        <w:rPr>
          <w:rFonts w:hint="eastAsia" w:ascii="宋体"/>
          <w:spacing w:val="-5"/>
          <w:kern w:val="0"/>
          <w:sz w:val="21"/>
          <w:szCs w:val="21"/>
        </w:rPr>
        <w:t xml:space="preserve"> 陶瓷刮板</w:t>
      </w:r>
    </w:p>
    <w:p>
      <w:pPr>
        <w:adjustRightInd w:val="0"/>
        <w:snapToGrid w:val="0"/>
        <w:spacing w:line="360" w:lineRule="auto"/>
        <w:ind w:left="705" w:leftChars="134" w:hanging="424" w:hangingChars="202"/>
        <w:rPr>
          <w:sz w:val="21"/>
          <w:szCs w:val="21"/>
        </w:rPr>
      </w:pPr>
      <w:r>
        <w:rPr>
          <w:rFonts w:hint="eastAsia" w:ascii="宋体" w:hAnsi="宋体"/>
          <w:sz w:val="21"/>
          <w:szCs w:val="21"/>
        </w:rPr>
        <w:t>△</w:t>
      </w:r>
      <w:r>
        <w:rPr>
          <w:rFonts w:ascii="宋体" w:hAnsi="宋体"/>
          <w:sz w:val="21"/>
          <w:szCs w:val="21"/>
        </w:rPr>
        <w:t>1.1</w:t>
      </w:r>
      <w:r>
        <w:rPr>
          <w:rFonts w:hint="eastAsia" w:ascii="宋体" w:hAnsi="宋体"/>
          <w:sz w:val="21"/>
          <w:szCs w:val="21"/>
        </w:rPr>
        <w:t>.1</w:t>
      </w:r>
      <w:r>
        <w:rPr>
          <w:rFonts w:hint="eastAsia" w:ascii="宋体"/>
          <w:spacing w:val="-5"/>
          <w:kern w:val="0"/>
          <w:sz w:val="21"/>
          <w:szCs w:val="21"/>
        </w:rPr>
        <w:t>陶瓷刮板</w:t>
      </w:r>
      <w:r>
        <w:rPr>
          <w:rFonts w:hint="eastAsia"/>
          <w:sz w:val="21"/>
          <w:szCs w:val="21"/>
        </w:rPr>
        <w:t>材料：</w:t>
      </w:r>
      <w:r>
        <w:rPr>
          <w:rFonts w:hint="eastAsia" w:ascii="Verdana" w:hAnsi="Verdana"/>
          <w:color w:val="000000"/>
          <w:sz w:val="21"/>
          <w:szCs w:val="21"/>
          <w:u w:val="single"/>
          <w:lang w:val="es-ES"/>
        </w:rPr>
        <w:t>95%</w:t>
      </w:r>
      <w:r>
        <w:rPr>
          <w:rFonts w:ascii="Verdana" w:hAnsi="Verdana"/>
          <w:color w:val="525252"/>
          <w:sz w:val="21"/>
          <w:szCs w:val="21"/>
          <w:u w:val="single"/>
          <w:lang w:val="es-ES"/>
        </w:rPr>
        <w:t>Al</w:t>
      </w:r>
      <w:r>
        <w:rPr>
          <w:rFonts w:ascii="Verdana" w:hAnsi="Verdana"/>
          <w:color w:val="525252"/>
          <w:sz w:val="21"/>
          <w:szCs w:val="21"/>
          <w:u w:val="single"/>
          <w:vertAlign w:val="subscript"/>
          <w:lang w:val="es-ES"/>
        </w:rPr>
        <w:t>2</w:t>
      </w:r>
      <w:r>
        <w:rPr>
          <w:rFonts w:ascii="Verdana" w:hAnsi="Verdana"/>
          <w:color w:val="525252"/>
          <w:sz w:val="21"/>
          <w:szCs w:val="21"/>
          <w:u w:val="single"/>
          <w:lang w:val="es-ES"/>
        </w:rPr>
        <w:t>O</w:t>
      </w:r>
      <w:r>
        <w:rPr>
          <w:rFonts w:ascii="Verdana" w:hAnsi="Verdana"/>
          <w:color w:val="525252"/>
          <w:sz w:val="21"/>
          <w:szCs w:val="21"/>
          <w:u w:val="single"/>
          <w:vertAlign w:val="subscript"/>
          <w:lang w:val="es-ES"/>
        </w:rPr>
        <w:t>3</w:t>
      </w:r>
      <w:r>
        <w:rPr>
          <w:rFonts w:hint="eastAsia"/>
          <w:sz w:val="21"/>
          <w:szCs w:val="21"/>
          <w:u w:val="single"/>
        </w:rPr>
        <w:t>氧化铝耐磨陶瓷</w:t>
      </w:r>
    </w:p>
    <w:p>
      <w:pPr>
        <w:adjustRightInd w:val="0"/>
        <w:snapToGrid w:val="0"/>
        <w:spacing w:line="360" w:lineRule="auto"/>
        <w:ind w:left="705" w:leftChars="134" w:hanging="424" w:hangingChars="202"/>
        <w:rPr>
          <w:sz w:val="21"/>
          <w:szCs w:val="21"/>
          <w:u w:val="single"/>
        </w:rPr>
      </w:pPr>
      <w:r>
        <w:rPr>
          <w:rFonts w:hint="eastAsia" w:ascii="宋体" w:hAnsi="宋体"/>
          <w:sz w:val="21"/>
          <w:szCs w:val="21"/>
        </w:rPr>
        <w:t>△1.1.2</w:t>
      </w:r>
      <w:r>
        <w:rPr>
          <w:rFonts w:hint="eastAsia" w:ascii="宋体"/>
          <w:spacing w:val="-5"/>
          <w:kern w:val="0"/>
          <w:sz w:val="21"/>
          <w:szCs w:val="21"/>
        </w:rPr>
        <w:t>陶瓷刮板</w:t>
      </w:r>
      <w:r>
        <w:rPr>
          <w:rFonts w:hint="eastAsia"/>
          <w:sz w:val="21"/>
          <w:szCs w:val="21"/>
        </w:rPr>
        <w:t>密度：</w:t>
      </w:r>
      <w:r>
        <w:rPr>
          <w:rFonts w:hint="eastAsia"/>
          <w:sz w:val="21"/>
          <w:szCs w:val="21"/>
          <w:u w:val="single"/>
        </w:rPr>
        <w:t>≥3.5g/</w:t>
      </w:r>
      <w:r>
        <w:rPr>
          <w:rFonts w:ascii="宋体" w:hAnsi="宋体"/>
          <w:sz w:val="21"/>
          <w:szCs w:val="21"/>
          <w:u w:val="single"/>
        </w:rPr>
        <w:t xml:space="preserve"> cm</w:t>
      </w:r>
      <w:r>
        <w:rPr>
          <w:rFonts w:hint="eastAsia" w:ascii="宋体" w:hAnsi="宋体"/>
          <w:sz w:val="21"/>
          <w:szCs w:val="21"/>
          <w:u w:val="single"/>
          <w:vertAlign w:val="superscript"/>
        </w:rPr>
        <w:t>3</w:t>
      </w:r>
    </w:p>
    <w:p>
      <w:pPr>
        <w:adjustRightInd w:val="0"/>
        <w:snapToGrid w:val="0"/>
        <w:spacing w:line="360" w:lineRule="auto"/>
        <w:ind w:left="705" w:leftChars="134" w:hanging="424" w:hangingChars="202"/>
        <w:rPr>
          <w:sz w:val="21"/>
          <w:szCs w:val="21"/>
          <w:u w:val="single"/>
        </w:rPr>
      </w:pPr>
      <w:r>
        <w:rPr>
          <w:rFonts w:hint="eastAsia" w:ascii="宋体" w:hAnsi="宋体"/>
          <w:sz w:val="21"/>
          <w:szCs w:val="21"/>
        </w:rPr>
        <w:t>△1.1.3</w:t>
      </w:r>
      <w:r>
        <w:rPr>
          <w:rFonts w:hint="eastAsia" w:ascii="宋体"/>
          <w:spacing w:val="-5"/>
          <w:kern w:val="0"/>
          <w:sz w:val="21"/>
          <w:szCs w:val="21"/>
        </w:rPr>
        <w:t>陶瓷刮板</w:t>
      </w:r>
      <w:r>
        <w:rPr>
          <w:rFonts w:hint="eastAsia"/>
          <w:sz w:val="21"/>
          <w:szCs w:val="21"/>
        </w:rPr>
        <w:t>耐磨性：</w:t>
      </w:r>
      <w:r>
        <w:rPr>
          <w:rFonts w:hint="eastAsia" w:ascii="Verdana" w:hAnsi="Verdana"/>
          <w:color w:val="000000"/>
          <w:sz w:val="21"/>
          <w:szCs w:val="21"/>
          <w:u w:val="single"/>
          <w:lang w:val="pt-BR"/>
        </w:rPr>
        <w:t>≤0.0002g（p＝76N n=800rpm t＝30m）</w:t>
      </w:r>
    </w:p>
    <w:p>
      <w:pPr>
        <w:adjustRightInd w:val="0"/>
        <w:snapToGrid w:val="0"/>
        <w:spacing w:line="360" w:lineRule="auto"/>
        <w:ind w:left="705" w:leftChars="134" w:hanging="424" w:hangingChars="202"/>
        <w:rPr>
          <w:sz w:val="21"/>
          <w:szCs w:val="21"/>
          <w:u w:val="single"/>
        </w:rPr>
      </w:pPr>
      <w:r>
        <w:rPr>
          <w:rFonts w:hint="eastAsia" w:ascii="宋体" w:hAnsi="宋体"/>
          <w:sz w:val="21"/>
          <w:szCs w:val="21"/>
        </w:rPr>
        <w:t>△1.1.4</w:t>
      </w:r>
      <w:r>
        <w:rPr>
          <w:rFonts w:hint="eastAsia" w:ascii="宋体"/>
          <w:spacing w:val="-5"/>
          <w:kern w:val="0"/>
          <w:sz w:val="21"/>
          <w:szCs w:val="21"/>
        </w:rPr>
        <w:t>陶瓷刮板</w:t>
      </w:r>
      <w:r>
        <w:rPr>
          <w:rFonts w:hint="eastAsia"/>
          <w:sz w:val="21"/>
          <w:szCs w:val="21"/>
        </w:rPr>
        <w:t>莫氏硬度：</w:t>
      </w:r>
      <w:r>
        <w:rPr>
          <w:rFonts w:hint="eastAsia"/>
          <w:sz w:val="21"/>
          <w:szCs w:val="21"/>
          <w:u w:val="single"/>
        </w:rPr>
        <w:t>9</w:t>
      </w:r>
      <w:r>
        <w:rPr>
          <w:rFonts w:hint="eastAsia"/>
          <w:sz w:val="21"/>
          <w:szCs w:val="21"/>
          <w:u w:val="single"/>
          <w:lang w:val="en-US" w:eastAsia="zh-CN"/>
        </w:rPr>
        <w:t xml:space="preserve"> </w:t>
      </w:r>
    </w:p>
    <w:p>
      <w:pPr>
        <w:adjustRightInd w:val="0"/>
        <w:snapToGrid w:val="0"/>
        <w:spacing w:line="360" w:lineRule="auto"/>
        <w:ind w:left="705" w:leftChars="134" w:hanging="424" w:hangingChars="202"/>
        <w:rPr>
          <w:sz w:val="21"/>
          <w:szCs w:val="21"/>
          <w:u w:val="single"/>
        </w:rPr>
      </w:pPr>
      <w:r>
        <w:rPr>
          <w:rFonts w:hint="eastAsia" w:ascii="宋体" w:hAnsi="宋体"/>
          <w:sz w:val="21"/>
          <w:szCs w:val="21"/>
        </w:rPr>
        <w:t xml:space="preserve">*1.1.5 </w:t>
      </w:r>
      <w:r>
        <w:rPr>
          <w:rFonts w:hint="eastAsia" w:ascii="宋体"/>
          <w:spacing w:val="-5"/>
          <w:kern w:val="0"/>
          <w:sz w:val="21"/>
          <w:szCs w:val="21"/>
        </w:rPr>
        <w:t>陶瓷刮板</w:t>
      </w:r>
      <w:r>
        <w:rPr>
          <w:rFonts w:hint="eastAsia" w:ascii="宋体" w:hAnsi="宋体"/>
          <w:sz w:val="21"/>
          <w:szCs w:val="21"/>
        </w:rPr>
        <w:t>抗拉强度：</w:t>
      </w:r>
      <w:r>
        <w:rPr>
          <w:rFonts w:hint="eastAsia"/>
          <w:sz w:val="21"/>
          <w:szCs w:val="21"/>
          <w:u w:val="single"/>
        </w:rPr>
        <w:t>≥280MPa</w:t>
      </w:r>
    </w:p>
    <w:p>
      <w:pPr>
        <w:adjustRightInd w:val="0"/>
        <w:snapToGrid w:val="0"/>
        <w:spacing w:line="360" w:lineRule="auto"/>
        <w:ind w:left="705" w:leftChars="134" w:hanging="424" w:hangingChars="202"/>
        <w:rPr>
          <w:sz w:val="21"/>
          <w:szCs w:val="21"/>
          <w:u w:val="single"/>
        </w:rPr>
      </w:pPr>
      <w:r>
        <w:rPr>
          <w:rFonts w:hint="eastAsia" w:ascii="宋体" w:hAnsi="宋体"/>
          <w:sz w:val="21"/>
          <w:szCs w:val="21"/>
        </w:rPr>
        <w:t>*1.1.6</w:t>
      </w:r>
      <w:r>
        <w:rPr>
          <w:rFonts w:hint="eastAsia" w:ascii="宋体"/>
          <w:spacing w:val="-5"/>
          <w:kern w:val="0"/>
          <w:sz w:val="21"/>
          <w:szCs w:val="21"/>
        </w:rPr>
        <w:t>陶瓷刮板</w:t>
      </w:r>
      <w:r>
        <w:rPr>
          <w:rFonts w:hint="eastAsia" w:ascii="宋体" w:hAnsi="宋体"/>
          <w:sz w:val="21"/>
          <w:szCs w:val="21"/>
        </w:rPr>
        <w:t>抗弯强度：</w:t>
      </w:r>
      <w:r>
        <w:rPr>
          <w:rFonts w:hint="eastAsia"/>
          <w:sz w:val="21"/>
          <w:szCs w:val="21"/>
          <w:u w:val="single"/>
        </w:rPr>
        <w:t>≥280MPa</w:t>
      </w:r>
    </w:p>
    <w:p>
      <w:pPr>
        <w:adjustRightInd w:val="0"/>
        <w:snapToGrid w:val="0"/>
        <w:spacing w:line="360" w:lineRule="auto"/>
        <w:ind w:left="705" w:leftChars="134" w:hanging="424" w:hangingChars="202"/>
        <w:rPr>
          <w:sz w:val="21"/>
          <w:szCs w:val="21"/>
          <w:u w:val="single"/>
        </w:rPr>
      </w:pPr>
      <w:r>
        <w:rPr>
          <w:rFonts w:hint="eastAsia" w:ascii="宋体" w:hAnsi="宋体"/>
          <w:sz w:val="21"/>
          <w:szCs w:val="21"/>
        </w:rPr>
        <w:t>*1.1.7</w:t>
      </w:r>
      <w:r>
        <w:rPr>
          <w:rFonts w:hint="eastAsia" w:ascii="宋体"/>
          <w:spacing w:val="-5"/>
          <w:kern w:val="0"/>
          <w:sz w:val="21"/>
          <w:szCs w:val="21"/>
        </w:rPr>
        <w:t>陶瓷刮板</w:t>
      </w:r>
      <w:r>
        <w:rPr>
          <w:rFonts w:hint="eastAsia" w:ascii="宋体" w:hAnsi="宋体"/>
          <w:sz w:val="21"/>
          <w:szCs w:val="21"/>
        </w:rPr>
        <w:t>抗压强度：</w:t>
      </w:r>
      <w:r>
        <w:rPr>
          <w:rFonts w:hint="eastAsia"/>
          <w:sz w:val="21"/>
          <w:szCs w:val="21"/>
          <w:u w:val="single"/>
        </w:rPr>
        <w:t>≥850MPa</w:t>
      </w:r>
    </w:p>
    <w:p>
      <w:pPr>
        <w:adjustRightInd w:val="0"/>
        <w:snapToGrid w:val="0"/>
        <w:spacing w:line="360" w:lineRule="auto"/>
        <w:ind w:left="705" w:leftChars="134" w:hanging="424" w:hangingChars="202"/>
        <w:rPr>
          <w:rFonts w:ascii="宋体" w:hAnsi="宋体"/>
          <w:sz w:val="21"/>
          <w:szCs w:val="21"/>
          <w:u w:val="single"/>
        </w:rPr>
      </w:pPr>
      <w:r>
        <w:rPr>
          <w:rFonts w:hint="eastAsia" w:ascii="宋体" w:hAnsi="宋体"/>
          <w:sz w:val="21"/>
          <w:szCs w:val="21"/>
        </w:rPr>
        <w:t>*1.1.8</w:t>
      </w:r>
      <w:r>
        <w:rPr>
          <w:rFonts w:hint="eastAsia" w:ascii="宋体"/>
          <w:spacing w:val="-5"/>
          <w:kern w:val="0"/>
          <w:sz w:val="21"/>
          <w:szCs w:val="21"/>
        </w:rPr>
        <w:t>陶瓷刮板</w:t>
      </w:r>
      <w:r>
        <w:rPr>
          <w:rFonts w:hint="eastAsia"/>
          <w:sz w:val="21"/>
          <w:szCs w:val="21"/>
        </w:rPr>
        <w:t>弹性模量</w:t>
      </w:r>
      <w:r>
        <w:rPr>
          <w:rFonts w:hint="eastAsia" w:ascii="宋体" w:hAnsi="宋体"/>
          <w:sz w:val="21"/>
          <w:szCs w:val="21"/>
        </w:rPr>
        <w:t>：</w:t>
      </w:r>
      <w:r>
        <w:rPr>
          <w:rFonts w:hint="eastAsia" w:ascii="宋体" w:hAnsi="宋体"/>
          <w:sz w:val="21"/>
          <w:szCs w:val="21"/>
          <w:u w:val="single"/>
        </w:rPr>
        <w:t>280Gpa</w:t>
      </w:r>
    </w:p>
    <w:p>
      <w:pPr>
        <w:adjustRightInd w:val="0"/>
        <w:snapToGrid w:val="0"/>
        <w:spacing w:line="360" w:lineRule="auto"/>
        <w:ind w:left="705" w:leftChars="134" w:hanging="424" w:hangingChars="202"/>
        <w:rPr>
          <w:sz w:val="21"/>
          <w:szCs w:val="21"/>
          <w:u w:val="single"/>
        </w:rPr>
      </w:pPr>
      <w:r>
        <w:rPr>
          <w:rFonts w:hint="eastAsia" w:ascii="宋体" w:hAnsi="宋体"/>
          <w:sz w:val="21"/>
          <w:szCs w:val="21"/>
        </w:rPr>
        <w:t>*1.1.9</w:t>
      </w:r>
      <w:r>
        <w:rPr>
          <w:rFonts w:hint="eastAsia" w:ascii="宋体"/>
          <w:spacing w:val="-5"/>
          <w:kern w:val="0"/>
          <w:sz w:val="21"/>
          <w:szCs w:val="21"/>
        </w:rPr>
        <w:t>陶瓷刮板</w:t>
      </w:r>
      <w:r>
        <w:rPr>
          <w:rFonts w:hint="eastAsia" w:ascii="Verdana" w:hAnsi="Verdana"/>
          <w:color w:val="000000"/>
          <w:sz w:val="21"/>
          <w:szCs w:val="21"/>
        </w:rPr>
        <w:t>断裂韧性 (KIC )：</w:t>
      </w:r>
      <w:r>
        <w:rPr>
          <w:rFonts w:hint="eastAsia" w:ascii="Verdana" w:hAnsi="Verdana"/>
          <w:color w:val="000000"/>
          <w:sz w:val="21"/>
          <w:szCs w:val="21"/>
          <w:u w:val="single"/>
        </w:rPr>
        <w:t>≥4.8MPa·m1/2</w:t>
      </w:r>
    </w:p>
    <w:p>
      <w:pPr>
        <w:adjustRightInd w:val="0"/>
        <w:snapToGrid w:val="0"/>
        <w:spacing w:line="360" w:lineRule="auto"/>
        <w:ind w:left="705" w:leftChars="134" w:hanging="424" w:hangingChars="202"/>
        <w:rPr>
          <w:szCs w:val="21"/>
          <w:u w:val="single"/>
        </w:rPr>
      </w:pPr>
      <w:r>
        <w:rPr>
          <w:rFonts w:hint="eastAsia" w:ascii="宋体" w:hAnsi="宋体"/>
        </w:rPr>
        <w:t>*</w:t>
      </w:r>
      <w:r>
        <w:rPr>
          <w:rFonts w:hint="eastAsia" w:ascii="宋体" w:hAnsi="宋体"/>
          <w:szCs w:val="21"/>
        </w:rPr>
        <w:t>1.1.12</w:t>
      </w:r>
      <w:r>
        <w:rPr>
          <w:rFonts w:hint="eastAsia" w:ascii="宋体"/>
          <w:spacing w:val="-5"/>
          <w:kern w:val="0"/>
          <w:szCs w:val="21"/>
        </w:rPr>
        <w:t>陶瓷刮板</w:t>
      </w:r>
      <w:r>
        <w:rPr>
          <w:rFonts w:hint="eastAsia"/>
          <w:szCs w:val="21"/>
        </w:rPr>
        <w:t>规格：</w:t>
      </w:r>
      <w:r>
        <w:rPr>
          <w:rFonts w:hint="eastAsia"/>
          <w:szCs w:val="21"/>
          <w:u w:val="single"/>
        </w:rPr>
        <w:t>L100mm×W100mm×T30mm（每片）</w:t>
      </w:r>
    </w:p>
    <w:p>
      <w:pPr>
        <w:adjustRightInd w:val="0"/>
        <w:snapToGrid w:val="0"/>
        <w:spacing w:line="360" w:lineRule="auto"/>
        <w:ind w:left="705" w:leftChars="134" w:hanging="424" w:hangingChars="202"/>
        <w:rPr>
          <w:rFonts w:ascii="宋体" w:hAnsi="宋体"/>
        </w:rPr>
      </w:pPr>
      <w:r>
        <w:rPr>
          <w:rFonts w:hint="eastAsia" w:ascii="宋体" w:hAnsi="宋体"/>
        </w:rPr>
        <w:t>1.2.支架</w:t>
      </w:r>
    </w:p>
    <w:p>
      <w:pPr>
        <w:adjustRightInd w:val="0"/>
        <w:snapToGrid w:val="0"/>
        <w:spacing w:line="360" w:lineRule="auto"/>
        <w:ind w:left="705" w:leftChars="134" w:hanging="424" w:hangingChars="202"/>
        <w:rPr>
          <w:szCs w:val="21"/>
          <w:u w:val="single"/>
        </w:rPr>
      </w:pPr>
      <w:r>
        <w:rPr>
          <w:rFonts w:hint="eastAsia" w:ascii="宋体" w:hAnsi="宋体"/>
        </w:rPr>
        <w:t>*</w:t>
      </w:r>
      <w:r>
        <w:rPr>
          <w:rFonts w:hint="eastAsia" w:ascii="宋体" w:hAnsi="宋体"/>
          <w:szCs w:val="21"/>
        </w:rPr>
        <w:t>1.2</w:t>
      </w:r>
      <w:r>
        <w:rPr>
          <w:rFonts w:ascii="宋体" w:hAnsi="宋体"/>
          <w:szCs w:val="21"/>
        </w:rPr>
        <w:t>.</w:t>
      </w:r>
      <w:r>
        <w:rPr>
          <w:rFonts w:hint="eastAsia" w:ascii="宋体" w:hAnsi="宋体"/>
          <w:szCs w:val="21"/>
        </w:rPr>
        <w:t>1.支架材质：Q</w:t>
      </w:r>
      <w:r>
        <w:rPr>
          <w:rFonts w:hint="eastAsia" w:ascii="宋体" w:hAnsi="宋体"/>
          <w:szCs w:val="21"/>
          <w:lang w:val="en-US" w:eastAsia="zh-CN"/>
        </w:rPr>
        <w:t>345</w:t>
      </w:r>
    </w:p>
    <w:p>
      <w:pPr>
        <w:adjustRightInd w:val="0"/>
        <w:snapToGrid w:val="0"/>
        <w:spacing w:line="360" w:lineRule="auto"/>
        <w:ind w:left="705" w:leftChars="134" w:hanging="424" w:hangingChars="202"/>
        <w:rPr>
          <w:rFonts w:hint="eastAsia" w:ascii="宋体" w:hAnsi="宋体"/>
          <w:color w:val="auto"/>
          <w:szCs w:val="21"/>
          <w:highlight w:val="none"/>
        </w:rPr>
      </w:pPr>
      <w:r>
        <w:rPr>
          <w:rFonts w:hint="eastAsia" w:ascii="宋体" w:hAnsi="宋体"/>
        </w:rPr>
        <w:t>*</w:t>
      </w:r>
      <w:r>
        <w:rPr>
          <w:rFonts w:hint="eastAsia" w:ascii="宋体" w:hAnsi="宋体"/>
          <w:szCs w:val="21"/>
        </w:rPr>
        <w:t>1.2</w:t>
      </w:r>
      <w:r>
        <w:rPr>
          <w:rFonts w:ascii="宋体" w:hAnsi="宋体"/>
          <w:szCs w:val="21"/>
        </w:rPr>
        <w:t>.</w:t>
      </w:r>
      <w:r>
        <w:rPr>
          <w:rFonts w:hint="eastAsia" w:ascii="宋体" w:hAnsi="宋体"/>
          <w:szCs w:val="21"/>
        </w:rPr>
        <w:t>2.支架规格：</w:t>
      </w:r>
      <w:r>
        <w:rPr>
          <w:rFonts w:hint="eastAsia" w:ascii="宋体" w:hAnsi="宋体"/>
          <w:color w:val="auto"/>
          <w:szCs w:val="21"/>
          <w:highlight w:val="none"/>
        </w:rPr>
        <w:t>圆管直径50mm，壁厚6mm</w:t>
      </w:r>
    </w:p>
    <w:p>
      <w:pPr>
        <w:adjustRightInd w:val="0"/>
        <w:snapToGrid w:val="0"/>
        <w:spacing w:line="360" w:lineRule="auto"/>
        <w:ind w:left="705" w:leftChars="134" w:hanging="424" w:hangingChars="202"/>
        <w:rPr>
          <w:szCs w:val="21"/>
          <w:u w:val="single"/>
        </w:rPr>
      </w:pPr>
      <w:r>
        <w:rPr>
          <w:rFonts w:hint="eastAsia" w:ascii="宋体" w:hAnsi="宋体"/>
        </w:rPr>
        <w:t>*</w:t>
      </w:r>
      <w:r>
        <w:rPr>
          <w:rFonts w:hint="eastAsia" w:ascii="宋体" w:hAnsi="宋体"/>
          <w:szCs w:val="21"/>
        </w:rPr>
        <w:t>1.2</w:t>
      </w:r>
      <w:r>
        <w:rPr>
          <w:rFonts w:ascii="宋体" w:hAnsi="宋体"/>
          <w:szCs w:val="21"/>
        </w:rPr>
        <w:t>.</w:t>
      </w:r>
      <w:r>
        <w:rPr>
          <w:rFonts w:hint="eastAsia" w:ascii="宋体" w:hAnsi="宋体"/>
          <w:szCs w:val="21"/>
        </w:rPr>
        <w:t>3.支架表面处理：静电粉末喷塑，喷涂材料为粉末聚丙烯，喷涂层厚度100μ</w:t>
      </w:r>
      <w:r>
        <w:rPr>
          <w:rFonts w:ascii="宋体" w:hAnsi="宋体"/>
          <w:szCs w:val="21"/>
        </w:rPr>
        <w:t>m</w:t>
      </w:r>
      <w:r>
        <w:rPr>
          <w:rFonts w:hint="eastAsia" w:ascii="宋体" w:hAnsi="宋体"/>
          <w:szCs w:val="21"/>
        </w:rPr>
        <w:t>。</w:t>
      </w:r>
    </w:p>
    <w:p>
      <w:pPr>
        <w:adjustRightInd w:val="0"/>
        <w:snapToGrid w:val="0"/>
        <w:spacing w:line="360" w:lineRule="auto"/>
        <w:ind w:left="705" w:leftChars="134" w:hanging="424" w:hangingChars="202"/>
        <w:rPr>
          <w:rFonts w:ascii="宋体" w:hAnsi="宋体"/>
        </w:rPr>
      </w:pPr>
      <w:r>
        <w:rPr>
          <w:rFonts w:hint="eastAsia" w:ascii="宋体" w:hAnsi="宋体"/>
        </w:rPr>
        <w:t>1.3.弹性机构</w:t>
      </w:r>
    </w:p>
    <w:p>
      <w:pPr>
        <w:adjustRightInd w:val="0"/>
        <w:snapToGrid w:val="0"/>
        <w:spacing w:line="360" w:lineRule="auto"/>
        <w:ind w:left="705" w:leftChars="134" w:hanging="424" w:hangingChars="202"/>
        <w:rPr>
          <w:szCs w:val="21"/>
          <w:u w:val="single"/>
        </w:rPr>
      </w:pPr>
      <w:r>
        <w:rPr>
          <w:rFonts w:hint="eastAsia" w:ascii="宋体" w:hAnsi="宋体"/>
        </w:rPr>
        <w:t>*</w:t>
      </w:r>
      <w:r>
        <w:rPr>
          <w:rFonts w:hint="eastAsia" w:ascii="宋体" w:hAnsi="宋体"/>
          <w:szCs w:val="21"/>
        </w:rPr>
        <w:t>1.3</w:t>
      </w:r>
      <w:r>
        <w:rPr>
          <w:rFonts w:ascii="宋体" w:hAnsi="宋体"/>
          <w:szCs w:val="21"/>
        </w:rPr>
        <w:t>.</w:t>
      </w:r>
      <w:r>
        <w:rPr>
          <w:rFonts w:hint="eastAsia" w:ascii="宋体" w:hAnsi="宋体"/>
          <w:szCs w:val="21"/>
        </w:rPr>
        <w:t>1.</w:t>
      </w:r>
      <w:r>
        <w:rPr>
          <w:rFonts w:hint="eastAsia" w:ascii="宋体" w:hAnsi="宋体"/>
        </w:rPr>
        <w:t xml:space="preserve"> 弹性</w:t>
      </w:r>
      <w:r>
        <w:rPr>
          <w:rFonts w:hint="eastAsia" w:ascii="宋体" w:hAnsi="宋体"/>
          <w:szCs w:val="21"/>
          <w:lang w:val="en-US" w:eastAsia="zh-CN"/>
        </w:rPr>
        <w:t>结构</w:t>
      </w:r>
      <w:r>
        <w:rPr>
          <w:rFonts w:hint="eastAsia" w:ascii="宋体" w:hAnsi="宋体"/>
          <w:szCs w:val="21"/>
        </w:rPr>
        <w:t>：</w:t>
      </w:r>
      <w:r>
        <w:rPr>
          <w:rFonts w:hint="eastAsia" w:ascii="宋体" w:hAnsi="宋体"/>
          <w:szCs w:val="21"/>
          <w:lang w:val="en-US" w:eastAsia="zh-CN"/>
        </w:rPr>
        <w:t>内置</w:t>
      </w:r>
      <w:r>
        <w:rPr>
          <w:rFonts w:hint="eastAsia" w:ascii="宋体" w:hAnsi="宋体"/>
          <w:szCs w:val="21"/>
        </w:rPr>
        <w:t>弹簧</w:t>
      </w:r>
    </w:p>
    <w:p>
      <w:pPr>
        <w:adjustRightInd w:val="0"/>
        <w:snapToGrid w:val="0"/>
        <w:spacing w:line="360" w:lineRule="auto"/>
        <w:ind w:left="705" w:leftChars="134" w:hanging="424" w:hangingChars="202"/>
        <w:rPr>
          <w:rFonts w:hint="eastAsia" w:ascii="宋体" w:hAnsi="宋体"/>
          <w:szCs w:val="21"/>
        </w:rPr>
      </w:pPr>
      <w:r>
        <w:rPr>
          <w:rFonts w:hint="eastAsia" w:ascii="宋体" w:hAnsi="宋体"/>
        </w:rPr>
        <w:t>*</w:t>
      </w:r>
      <w:r>
        <w:rPr>
          <w:rFonts w:hint="eastAsia" w:ascii="宋体" w:hAnsi="宋体"/>
          <w:szCs w:val="21"/>
        </w:rPr>
        <w:t>1.3</w:t>
      </w:r>
      <w:r>
        <w:rPr>
          <w:rFonts w:ascii="宋体" w:hAnsi="宋体"/>
          <w:szCs w:val="21"/>
        </w:rPr>
        <w:t>.</w:t>
      </w:r>
      <w:r>
        <w:rPr>
          <w:rFonts w:hint="eastAsia" w:ascii="宋体" w:hAnsi="宋体"/>
          <w:szCs w:val="21"/>
          <w:lang w:val="en-US" w:eastAsia="zh-CN"/>
        </w:rPr>
        <w:t>2</w:t>
      </w:r>
      <w:r>
        <w:rPr>
          <w:rFonts w:hint="eastAsia" w:ascii="宋体" w:hAnsi="宋体"/>
          <w:szCs w:val="21"/>
        </w:rPr>
        <w:t>.</w:t>
      </w:r>
      <w:r>
        <w:rPr>
          <w:rFonts w:hint="eastAsia" w:ascii="宋体" w:hAnsi="宋体"/>
        </w:rPr>
        <w:t xml:space="preserve"> 弹性机构</w:t>
      </w:r>
      <w:r>
        <w:rPr>
          <w:rFonts w:hint="eastAsia" w:ascii="宋体" w:hAnsi="宋体"/>
          <w:szCs w:val="21"/>
        </w:rPr>
        <w:t>表面处理：静电粉末喷塑，材料为粉末聚丙烯，喷涂层厚度100μ</w:t>
      </w:r>
      <w:r>
        <w:rPr>
          <w:rFonts w:ascii="宋体" w:hAnsi="宋体"/>
          <w:szCs w:val="21"/>
        </w:rPr>
        <w:t>m</w:t>
      </w:r>
      <w:r>
        <w:rPr>
          <w:rFonts w:hint="eastAsia" w:ascii="宋体" w:hAnsi="宋体"/>
          <w:szCs w:val="21"/>
        </w:rPr>
        <w:t>。</w:t>
      </w:r>
    </w:p>
    <w:p>
      <w:pPr>
        <w:spacing w:line="360" w:lineRule="auto"/>
        <w:rPr>
          <w:rFonts w:ascii="宋体" w:hAnsi="宋体"/>
          <w:szCs w:val="21"/>
        </w:rPr>
      </w:pPr>
      <w:r>
        <w:rPr>
          <w:rFonts w:ascii="宋体" w:hAnsi="宋体"/>
          <w:szCs w:val="21"/>
        </w:rPr>
        <w:t>2</w:t>
      </w:r>
      <w:r>
        <w:rPr>
          <w:rFonts w:hint="eastAsia" w:ascii="宋体" w:hAnsi="宋体"/>
          <w:szCs w:val="21"/>
        </w:rPr>
        <w:t>. 技术性能要求</w:t>
      </w:r>
    </w:p>
    <w:p>
      <w:pPr>
        <w:adjustRightInd w:val="0"/>
        <w:snapToGrid w:val="0"/>
        <w:spacing w:line="360" w:lineRule="auto"/>
        <w:ind w:left="685" w:leftChars="134" w:hanging="404" w:hangingChars="202"/>
        <w:rPr>
          <w:rFonts w:ascii="宋体"/>
          <w:spacing w:val="-5"/>
          <w:kern w:val="0"/>
          <w:szCs w:val="21"/>
        </w:rPr>
      </w:pPr>
      <w:r>
        <w:rPr>
          <w:rFonts w:ascii="宋体"/>
          <w:spacing w:val="-5"/>
          <w:kern w:val="0"/>
          <w:szCs w:val="21"/>
        </w:rPr>
        <w:t>2.1</w:t>
      </w:r>
      <w:r>
        <w:rPr>
          <w:rFonts w:hint="eastAsia" w:ascii="宋体"/>
          <w:spacing w:val="-5"/>
          <w:kern w:val="0"/>
          <w:szCs w:val="21"/>
        </w:rPr>
        <w:t>. 陶瓷刮板由模压高温烧结成型，光滑平整。</w:t>
      </w:r>
    </w:p>
    <w:p>
      <w:pPr>
        <w:adjustRightInd w:val="0"/>
        <w:snapToGrid w:val="0"/>
        <w:spacing w:line="360" w:lineRule="auto"/>
        <w:ind w:left="685" w:leftChars="134" w:hanging="404" w:hangingChars="202"/>
        <w:rPr>
          <w:rFonts w:ascii="宋体"/>
          <w:spacing w:val="-5"/>
          <w:kern w:val="0"/>
          <w:szCs w:val="21"/>
        </w:rPr>
      </w:pPr>
      <w:r>
        <w:rPr>
          <w:rFonts w:ascii="宋体"/>
          <w:spacing w:val="-5"/>
          <w:kern w:val="0"/>
          <w:szCs w:val="21"/>
        </w:rPr>
        <w:t>2.</w:t>
      </w:r>
      <w:r>
        <w:rPr>
          <w:rFonts w:hint="eastAsia" w:ascii="宋体"/>
          <w:spacing w:val="-5"/>
          <w:kern w:val="0"/>
          <w:szCs w:val="21"/>
        </w:rPr>
        <w:t>2. 陶瓷刮板清扫器采用分段式陶瓷刮板组合体。</w:t>
      </w:r>
    </w:p>
    <w:p>
      <w:pPr>
        <w:adjustRightInd w:val="0"/>
        <w:snapToGrid w:val="0"/>
        <w:spacing w:line="360" w:lineRule="auto"/>
        <w:ind w:left="685" w:leftChars="134" w:hanging="404" w:hangingChars="202"/>
        <w:rPr>
          <w:rFonts w:hint="eastAsia" w:ascii="宋体"/>
          <w:spacing w:val="-5"/>
          <w:kern w:val="0"/>
          <w:szCs w:val="21"/>
        </w:rPr>
      </w:pPr>
      <w:r>
        <w:rPr>
          <w:rFonts w:ascii="宋体"/>
          <w:spacing w:val="-5"/>
          <w:kern w:val="0"/>
          <w:szCs w:val="21"/>
        </w:rPr>
        <w:t>2.</w:t>
      </w:r>
      <w:r>
        <w:rPr>
          <w:rFonts w:hint="eastAsia" w:ascii="宋体"/>
          <w:spacing w:val="-5"/>
          <w:kern w:val="0"/>
          <w:szCs w:val="21"/>
        </w:rPr>
        <w:t>3.弹性机构自动调整刮刀与皮带的恒定接触压力，确保稳定持续的清扫效果，正常使用可达20个月以上。</w:t>
      </w:r>
    </w:p>
    <w:p>
      <w:pPr>
        <w:adjustRightInd w:val="0"/>
        <w:snapToGrid w:val="0"/>
        <w:spacing w:line="360" w:lineRule="auto"/>
        <w:ind w:left="685" w:leftChars="134" w:hanging="404" w:hangingChars="202"/>
        <w:rPr>
          <w:rFonts w:hint="eastAsia" w:ascii="宋体" w:eastAsia="宋体"/>
          <w:spacing w:val="-5"/>
          <w:kern w:val="0"/>
          <w:szCs w:val="21"/>
          <w:lang w:val="en-US" w:eastAsia="zh-CN"/>
        </w:rPr>
      </w:pPr>
      <w:r>
        <w:rPr>
          <w:rFonts w:hint="eastAsia" w:ascii="宋体"/>
          <w:spacing w:val="-5"/>
          <w:kern w:val="0"/>
          <w:szCs w:val="21"/>
          <w:lang w:val="en-US" w:eastAsia="zh-CN"/>
        </w:rPr>
        <w:t>2.4.陶瓷清扫器拉紧机构采用弹簧恒压拉紧装置，刀片结构为半月牙形，能紧贴输送带运载面。</w:t>
      </w:r>
    </w:p>
    <w:p>
      <w:pPr>
        <w:pStyle w:val="17"/>
        <w:tabs>
          <w:tab w:val="left" w:pos="1290"/>
          <w:tab w:val="left" w:pos="1680"/>
        </w:tabs>
        <w:adjustRightInd w:val="0"/>
        <w:snapToGrid w:val="0"/>
        <w:spacing w:line="360" w:lineRule="auto"/>
        <w:rPr>
          <w:sz w:val="21"/>
          <w:szCs w:val="21"/>
        </w:rPr>
      </w:pPr>
      <w:r>
        <w:rPr>
          <w:rFonts w:hint="eastAsia"/>
          <w:sz w:val="21"/>
          <w:szCs w:val="21"/>
          <w:lang w:val="en-US" w:eastAsia="zh-CN"/>
        </w:rPr>
        <w:t>3</w:t>
      </w:r>
      <w:r>
        <w:rPr>
          <w:rFonts w:hint="eastAsia"/>
          <w:sz w:val="21"/>
          <w:szCs w:val="21"/>
        </w:rPr>
        <w:t>.招标人提出的特别技术要求</w:t>
      </w:r>
    </w:p>
    <w:p>
      <w:pPr>
        <w:pStyle w:val="17"/>
        <w:tabs>
          <w:tab w:val="left" w:pos="1290"/>
          <w:tab w:val="left" w:pos="1680"/>
        </w:tabs>
        <w:adjustRightInd w:val="0"/>
        <w:snapToGrid w:val="0"/>
        <w:spacing w:line="360" w:lineRule="auto"/>
        <w:ind w:firstLine="105" w:firstLineChars="50"/>
        <w:rPr>
          <w:sz w:val="21"/>
          <w:szCs w:val="21"/>
        </w:rPr>
      </w:pPr>
      <w:r>
        <w:rPr>
          <w:rFonts w:hint="eastAsia"/>
          <w:sz w:val="21"/>
          <w:szCs w:val="21"/>
          <w:lang w:val="en-US" w:eastAsia="zh-CN"/>
        </w:rPr>
        <w:t>3</w:t>
      </w:r>
      <w:r>
        <w:rPr>
          <w:rFonts w:hint="eastAsia"/>
          <w:sz w:val="21"/>
          <w:szCs w:val="21"/>
        </w:rPr>
        <w:t>.</w:t>
      </w:r>
      <w:r>
        <w:rPr>
          <w:rFonts w:hint="eastAsia"/>
          <w:sz w:val="21"/>
          <w:szCs w:val="21"/>
          <w:lang w:val="en-US" w:eastAsia="zh-CN"/>
        </w:rPr>
        <w:t>1</w:t>
      </w:r>
      <w:r>
        <w:rPr>
          <w:rFonts w:hint="eastAsia"/>
          <w:sz w:val="21"/>
          <w:szCs w:val="21"/>
        </w:rPr>
        <w:t>.投标厂家必须对招标文件中的技术条款逐条解释并满足工作环境。</w:t>
      </w:r>
    </w:p>
    <w:p>
      <w:pPr>
        <w:pStyle w:val="17"/>
        <w:tabs>
          <w:tab w:val="left" w:pos="1290"/>
          <w:tab w:val="left" w:pos="1680"/>
        </w:tabs>
        <w:adjustRightInd w:val="0"/>
        <w:snapToGrid w:val="0"/>
        <w:spacing w:line="360" w:lineRule="auto"/>
        <w:rPr>
          <w:sz w:val="21"/>
          <w:szCs w:val="21"/>
        </w:rPr>
      </w:pPr>
      <w:r>
        <w:rPr>
          <w:rFonts w:hint="eastAsia"/>
          <w:sz w:val="21"/>
          <w:szCs w:val="21"/>
        </w:rPr>
        <w:t xml:space="preserve"> </w:t>
      </w:r>
      <w:r>
        <w:rPr>
          <w:rFonts w:hint="eastAsia"/>
          <w:sz w:val="21"/>
          <w:szCs w:val="21"/>
          <w:lang w:val="en-US" w:eastAsia="zh-CN"/>
        </w:rPr>
        <w:t>3</w:t>
      </w:r>
      <w:r>
        <w:rPr>
          <w:rFonts w:hint="eastAsia"/>
          <w:sz w:val="21"/>
          <w:szCs w:val="21"/>
        </w:rPr>
        <w:t>.</w:t>
      </w:r>
      <w:r>
        <w:rPr>
          <w:rFonts w:hint="eastAsia"/>
          <w:sz w:val="21"/>
          <w:szCs w:val="21"/>
          <w:lang w:val="en-US" w:eastAsia="zh-CN"/>
        </w:rPr>
        <w:t>2</w:t>
      </w:r>
      <w:r>
        <w:rPr>
          <w:rFonts w:hint="eastAsia"/>
          <w:sz w:val="21"/>
          <w:szCs w:val="21"/>
        </w:rPr>
        <w:t>.投标产品必须满足相关的最新国家和行业标准要求，招标技术要求中相关条款指标高于国家行业要求的，按照招标文件要求条款执行。</w:t>
      </w:r>
    </w:p>
    <w:p>
      <w:pPr>
        <w:pStyle w:val="17"/>
        <w:tabs>
          <w:tab w:val="left" w:pos="1290"/>
          <w:tab w:val="left" w:pos="1680"/>
        </w:tabs>
        <w:adjustRightInd w:val="0"/>
        <w:snapToGrid w:val="0"/>
        <w:spacing w:line="360" w:lineRule="auto"/>
        <w:rPr>
          <w:sz w:val="21"/>
          <w:szCs w:val="21"/>
        </w:rPr>
      </w:pPr>
      <w:r>
        <w:rPr>
          <w:rFonts w:hint="eastAsia"/>
          <w:sz w:val="21"/>
          <w:szCs w:val="21"/>
        </w:rPr>
        <w:t>*</w:t>
      </w:r>
      <w:r>
        <w:rPr>
          <w:rFonts w:hint="eastAsia"/>
          <w:sz w:val="21"/>
          <w:szCs w:val="21"/>
          <w:lang w:val="en-US" w:eastAsia="zh-CN"/>
        </w:rPr>
        <w:t>3</w:t>
      </w:r>
      <w:r>
        <w:rPr>
          <w:rFonts w:hint="eastAsia"/>
          <w:sz w:val="21"/>
          <w:szCs w:val="21"/>
        </w:rPr>
        <w:t>.</w:t>
      </w:r>
      <w:r>
        <w:rPr>
          <w:rFonts w:hint="eastAsia"/>
          <w:sz w:val="21"/>
          <w:szCs w:val="21"/>
          <w:lang w:val="en-US" w:eastAsia="zh-CN"/>
        </w:rPr>
        <w:t>3</w:t>
      </w:r>
      <w:r>
        <w:rPr>
          <w:rFonts w:hint="eastAsia"/>
          <w:sz w:val="21"/>
          <w:szCs w:val="21"/>
        </w:rPr>
        <w:t>. 供货单位保证所供配件必须与主机尺寸、安装位置一致，并保证正常安装使用，可实现主机设备所有功能。</w:t>
      </w:r>
    </w:p>
    <w:p>
      <w:pPr>
        <w:adjustRightInd w:val="0"/>
        <w:snapToGrid w:val="0"/>
        <w:spacing w:beforeLines="100" w:afterLines="100" w:line="360" w:lineRule="auto"/>
        <w:rPr>
          <w:b/>
        </w:rPr>
      </w:pPr>
      <w:r>
        <w:rPr>
          <w:rFonts w:hint="eastAsia"/>
          <w:b/>
        </w:rPr>
        <w:t>四. 需投标人提供的技术参数</w:t>
      </w:r>
    </w:p>
    <w:p>
      <w:pPr>
        <w:spacing w:line="360" w:lineRule="auto"/>
        <w:rPr>
          <w:rFonts w:ascii="宋体"/>
          <w:spacing w:val="-5"/>
          <w:kern w:val="0"/>
          <w:szCs w:val="21"/>
        </w:rPr>
      </w:pPr>
      <w:r>
        <w:rPr>
          <w:rFonts w:hint="eastAsia" w:ascii="宋体"/>
          <w:spacing w:val="-5"/>
          <w:kern w:val="0"/>
          <w:szCs w:val="21"/>
        </w:rPr>
        <w:t>1 .技术参数及性能</w:t>
      </w:r>
    </w:p>
    <w:p>
      <w:pPr>
        <w:adjustRightInd w:val="0"/>
        <w:snapToGrid w:val="0"/>
        <w:spacing w:line="360" w:lineRule="auto"/>
        <w:ind w:left="705" w:leftChars="134" w:hanging="424" w:hangingChars="202"/>
        <w:rPr>
          <w:rFonts w:ascii="宋体" w:hAnsi="宋体"/>
        </w:rPr>
      </w:pPr>
      <w:r>
        <w:rPr>
          <w:rFonts w:hint="eastAsia" w:ascii="宋体" w:hAnsi="宋体"/>
        </w:rPr>
        <w:t>1.1.</w:t>
      </w:r>
      <w:r>
        <w:rPr>
          <w:rFonts w:hint="eastAsia" w:ascii="宋体"/>
          <w:spacing w:val="-5"/>
          <w:kern w:val="0"/>
          <w:szCs w:val="21"/>
        </w:rPr>
        <w:t xml:space="preserve"> 陶瓷刮板</w:t>
      </w:r>
    </w:p>
    <w:p>
      <w:pPr>
        <w:adjustRightInd w:val="0"/>
        <w:snapToGrid w:val="0"/>
        <w:spacing w:line="360" w:lineRule="auto"/>
        <w:ind w:left="705" w:leftChars="134" w:hanging="424" w:hangingChars="202"/>
        <w:rPr>
          <w:szCs w:val="21"/>
        </w:rPr>
      </w:pPr>
      <w:r>
        <w:rPr>
          <w:rFonts w:hint="eastAsia" w:ascii="宋体" w:hAnsi="宋体"/>
        </w:rPr>
        <w:t>△</w:t>
      </w:r>
      <w:r>
        <w:rPr>
          <w:rFonts w:ascii="宋体" w:hAnsi="宋体"/>
          <w:szCs w:val="21"/>
        </w:rPr>
        <w:t>1.1</w:t>
      </w:r>
      <w:r>
        <w:rPr>
          <w:rFonts w:hint="eastAsia" w:ascii="宋体" w:hAnsi="宋体"/>
          <w:szCs w:val="21"/>
        </w:rPr>
        <w:t>.1</w:t>
      </w:r>
      <w:r>
        <w:rPr>
          <w:rFonts w:hint="eastAsia" w:ascii="宋体"/>
          <w:spacing w:val="-5"/>
          <w:kern w:val="0"/>
          <w:szCs w:val="21"/>
        </w:rPr>
        <w:t>陶瓷刮板</w:t>
      </w:r>
      <w:r>
        <w:rPr>
          <w:rFonts w:hint="eastAsia"/>
          <w:szCs w:val="21"/>
        </w:rPr>
        <w:t>材料：</w:t>
      </w:r>
      <w:r>
        <w:rPr>
          <w:szCs w:val="21"/>
        </w:rPr>
        <w:t xml:space="preserve"> </w:t>
      </w:r>
    </w:p>
    <w:p>
      <w:pPr>
        <w:adjustRightInd w:val="0"/>
        <w:snapToGrid w:val="0"/>
        <w:spacing w:line="360" w:lineRule="auto"/>
        <w:ind w:left="705" w:leftChars="134" w:hanging="424" w:hangingChars="202"/>
        <w:rPr>
          <w:szCs w:val="21"/>
          <w:u w:val="single"/>
        </w:rPr>
      </w:pPr>
      <w:r>
        <w:rPr>
          <w:rFonts w:hint="eastAsia" w:ascii="宋体" w:hAnsi="宋体"/>
        </w:rPr>
        <w:t>△</w:t>
      </w:r>
      <w:r>
        <w:rPr>
          <w:rFonts w:hint="eastAsia" w:ascii="宋体" w:hAnsi="宋体"/>
          <w:szCs w:val="21"/>
        </w:rPr>
        <w:t>1.1.2</w:t>
      </w:r>
      <w:r>
        <w:rPr>
          <w:rFonts w:hint="eastAsia" w:ascii="宋体"/>
          <w:spacing w:val="-5"/>
          <w:kern w:val="0"/>
          <w:szCs w:val="21"/>
        </w:rPr>
        <w:t>陶瓷刮板</w:t>
      </w:r>
      <w:r>
        <w:rPr>
          <w:rFonts w:hint="eastAsia"/>
          <w:szCs w:val="21"/>
        </w:rPr>
        <w:t>密度：</w:t>
      </w:r>
    </w:p>
    <w:p>
      <w:pPr>
        <w:adjustRightInd w:val="0"/>
        <w:snapToGrid w:val="0"/>
        <w:spacing w:line="360" w:lineRule="auto"/>
        <w:ind w:left="705" w:leftChars="134" w:hanging="424" w:hangingChars="202"/>
        <w:rPr>
          <w:szCs w:val="21"/>
          <w:u w:val="single"/>
        </w:rPr>
      </w:pPr>
      <w:r>
        <w:rPr>
          <w:rFonts w:hint="eastAsia" w:ascii="宋体" w:hAnsi="宋体"/>
        </w:rPr>
        <w:t>△</w:t>
      </w:r>
      <w:r>
        <w:rPr>
          <w:rFonts w:hint="eastAsia" w:ascii="宋体" w:hAnsi="宋体"/>
          <w:szCs w:val="21"/>
        </w:rPr>
        <w:t>1.1.3</w:t>
      </w:r>
      <w:r>
        <w:rPr>
          <w:rFonts w:hint="eastAsia" w:ascii="宋体"/>
          <w:spacing w:val="-5"/>
          <w:kern w:val="0"/>
          <w:szCs w:val="21"/>
        </w:rPr>
        <w:t>陶瓷刮板</w:t>
      </w:r>
      <w:r>
        <w:rPr>
          <w:rFonts w:hint="eastAsia"/>
          <w:szCs w:val="21"/>
        </w:rPr>
        <w:t>耐磨性：</w:t>
      </w:r>
    </w:p>
    <w:p>
      <w:pPr>
        <w:adjustRightInd w:val="0"/>
        <w:snapToGrid w:val="0"/>
        <w:spacing w:line="360" w:lineRule="auto"/>
        <w:ind w:left="705" w:leftChars="134" w:hanging="424" w:hangingChars="202"/>
        <w:rPr>
          <w:szCs w:val="21"/>
          <w:u w:val="single"/>
        </w:rPr>
      </w:pPr>
      <w:r>
        <w:rPr>
          <w:rFonts w:hint="eastAsia" w:ascii="宋体" w:hAnsi="宋体"/>
        </w:rPr>
        <w:t>△</w:t>
      </w:r>
      <w:r>
        <w:rPr>
          <w:rFonts w:hint="eastAsia" w:ascii="宋体" w:hAnsi="宋体"/>
          <w:szCs w:val="21"/>
        </w:rPr>
        <w:t>1.1.4</w:t>
      </w:r>
      <w:r>
        <w:rPr>
          <w:rFonts w:hint="eastAsia" w:ascii="宋体"/>
          <w:spacing w:val="-5"/>
          <w:kern w:val="0"/>
          <w:szCs w:val="21"/>
        </w:rPr>
        <w:t>陶瓷刮板</w:t>
      </w:r>
      <w:r>
        <w:rPr>
          <w:rFonts w:hint="eastAsia"/>
          <w:szCs w:val="21"/>
        </w:rPr>
        <w:t>莫氏硬度：</w:t>
      </w:r>
    </w:p>
    <w:p>
      <w:pPr>
        <w:adjustRightInd w:val="0"/>
        <w:snapToGrid w:val="0"/>
        <w:spacing w:line="360" w:lineRule="auto"/>
        <w:ind w:left="705" w:leftChars="134" w:hanging="424" w:hangingChars="202"/>
        <w:rPr>
          <w:szCs w:val="21"/>
          <w:u w:val="single"/>
        </w:rPr>
      </w:pPr>
      <w:r>
        <w:rPr>
          <w:rFonts w:hint="eastAsia" w:ascii="宋体" w:hAnsi="宋体"/>
        </w:rPr>
        <w:t>*</w:t>
      </w:r>
      <w:r>
        <w:rPr>
          <w:rFonts w:hint="eastAsia" w:ascii="宋体" w:hAnsi="宋体"/>
          <w:szCs w:val="21"/>
        </w:rPr>
        <w:t xml:space="preserve">1.1.5 </w:t>
      </w:r>
      <w:r>
        <w:rPr>
          <w:rFonts w:hint="eastAsia" w:ascii="宋体"/>
          <w:spacing w:val="-5"/>
          <w:kern w:val="0"/>
          <w:szCs w:val="21"/>
        </w:rPr>
        <w:t>陶瓷刮板</w:t>
      </w:r>
      <w:r>
        <w:rPr>
          <w:rFonts w:hint="eastAsia" w:ascii="宋体" w:hAnsi="宋体"/>
          <w:szCs w:val="21"/>
        </w:rPr>
        <w:t>抗拉强度：</w:t>
      </w:r>
    </w:p>
    <w:p>
      <w:pPr>
        <w:adjustRightInd w:val="0"/>
        <w:snapToGrid w:val="0"/>
        <w:spacing w:line="360" w:lineRule="auto"/>
        <w:ind w:left="705" w:leftChars="134" w:hanging="424" w:hangingChars="202"/>
        <w:rPr>
          <w:szCs w:val="21"/>
          <w:u w:val="single"/>
        </w:rPr>
      </w:pPr>
      <w:r>
        <w:rPr>
          <w:rFonts w:hint="eastAsia" w:ascii="宋体" w:hAnsi="宋体"/>
        </w:rPr>
        <w:t>*</w:t>
      </w:r>
      <w:r>
        <w:rPr>
          <w:rFonts w:hint="eastAsia" w:ascii="宋体" w:hAnsi="宋体"/>
          <w:szCs w:val="21"/>
        </w:rPr>
        <w:t>1.1.6</w:t>
      </w:r>
      <w:r>
        <w:rPr>
          <w:rFonts w:hint="eastAsia" w:ascii="宋体"/>
          <w:spacing w:val="-5"/>
          <w:kern w:val="0"/>
          <w:szCs w:val="21"/>
        </w:rPr>
        <w:t>陶瓷刮板</w:t>
      </w:r>
      <w:r>
        <w:rPr>
          <w:rFonts w:hint="eastAsia" w:ascii="宋体" w:hAnsi="宋体"/>
          <w:szCs w:val="21"/>
        </w:rPr>
        <w:t>抗弯强度：</w:t>
      </w:r>
    </w:p>
    <w:p>
      <w:pPr>
        <w:adjustRightInd w:val="0"/>
        <w:snapToGrid w:val="0"/>
        <w:spacing w:line="360" w:lineRule="auto"/>
        <w:ind w:left="705" w:leftChars="134" w:hanging="424" w:hangingChars="202"/>
        <w:rPr>
          <w:szCs w:val="21"/>
          <w:u w:val="single"/>
        </w:rPr>
      </w:pPr>
      <w:r>
        <w:rPr>
          <w:rFonts w:hint="eastAsia" w:ascii="宋体" w:hAnsi="宋体"/>
        </w:rPr>
        <w:t>*</w:t>
      </w:r>
      <w:r>
        <w:rPr>
          <w:rFonts w:hint="eastAsia" w:ascii="宋体" w:hAnsi="宋体"/>
          <w:szCs w:val="21"/>
        </w:rPr>
        <w:t>1.1.7</w:t>
      </w:r>
      <w:r>
        <w:rPr>
          <w:rFonts w:hint="eastAsia" w:ascii="宋体"/>
          <w:spacing w:val="-5"/>
          <w:kern w:val="0"/>
          <w:szCs w:val="21"/>
        </w:rPr>
        <w:t>陶瓷刮板</w:t>
      </w:r>
      <w:r>
        <w:rPr>
          <w:rFonts w:hint="eastAsia" w:ascii="宋体" w:hAnsi="宋体"/>
          <w:szCs w:val="21"/>
        </w:rPr>
        <w:t>抗压强度：</w:t>
      </w:r>
    </w:p>
    <w:p>
      <w:pPr>
        <w:adjustRightInd w:val="0"/>
        <w:snapToGrid w:val="0"/>
        <w:spacing w:line="360" w:lineRule="auto"/>
        <w:ind w:left="705" w:leftChars="134" w:hanging="424" w:hangingChars="202"/>
        <w:rPr>
          <w:rFonts w:ascii="宋体" w:hAnsi="宋体"/>
          <w:szCs w:val="21"/>
          <w:u w:val="single"/>
        </w:rPr>
      </w:pPr>
      <w:r>
        <w:rPr>
          <w:rFonts w:hint="eastAsia" w:ascii="宋体" w:hAnsi="宋体"/>
        </w:rPr>
        <w:t>*</w:t>
      </w:r>
      <w:r>
        <w:rPr>
          <w:rFonts w:hint="eastAsia" w:ascii="宋体" w:hAnsi="宋体"/>
          <w:szCs w:val="21"/>
        </w:rPr>
        <w:t>1.1.8</w:t>
      </w:r>
      <w:r>
        <w:rPr>
          <w:rFonts w:hint="eastAsia" w:ascii="宋体"/>
          <w:spacing w:val="-5"/>
          <w:kern w:val="0"/>
          <w:szCs w:val="21"/>
        </w:rPr>
        <w:t>陶瓷刮板</w:t>
      </w:r>
      <w:r>
        <w:rPr>
          <w:rFonts w:hint="eastAsia"/>
          <w:szCs w:val="21"/>
        </w:rPr>
        <w:t>弹性模量</w:t>
      </w:r>
      <w:r>
        <w:rPr>
          <w:rFonts w:hint="eastAsia" w:ascii="宋体" w:hAnsi="宋体"/>
          <w:szCs w:val="21"/>
        </w:rPr>
        <w:t>：</w:t>
      </w:r>
    </w:p>
    <w:p>
      <w:pPr>
        <w:adjustRightInd w:val="0"/>
        <w:snapToGrid w:val="0"/>
        <w:spacing w:line="360" w:lineRule="auto"/>
        <w:ind w:left="705" w:leftChars="134" w:hanging="424" w:hangingChars="202"/>
        <w:rPr>
          <w:szCs w:val="21"/>
          <w:u w:val="single"/>
        </w:rPr>
      </w:pPr>
      <w:r>
        <w:rPr>
          <w:rFonts w:hint="eastAsia" w:ascii="宋体" w:hAnsi="宋体"/>
        </w:rPr>
        <w:t>*</w:t>
      </w:r>
      <w:r>
        <w:rPr>
          <w:rFonts w:hint="eastAsia" w:ascii="宋体" w:hAnsi="宋体"/>
          <w:szCs w:val="21"/>
        </w:rPr>
        <w:t>1.1.9</w:t>
      </w:r>
      <w:r>
        <w:rPr>
          <w:rFonts w:hint="eastAsia" w:ascii="宋体"/>
          <w:spacing w:val="-5"/>
          <w:kern w:val="0"/>
          <w:szCs w:val="21"/>
        </w:rPr>
        <w:t>陶瓷刮板</w:t>
      </w:r>
      <w:r>
        <w:rPr>
          <w:rFonts w:hint="eastAsia" w:ascii="Verdana" w:hAnsi="Verdana"/>
          <w:color w:val="000000"/>
          <w:sz w:val="18"/>
          <w:szCs w:val="18"/>
        </w:rPr>
        <w:t>断裂韧性 (KIC )：</w:t>
      </w:r>
    </w:p>
    <w:p>
      <w:pPr>
        <w:adjustRightInd w:val="0"/>
        <w:snapToGrid w:val="0"/>
        <w:spacing w:line="360" w:lineRule="auto"/>
        <w:ind w:left="705" w:leftChars="134" w:hanging="424" w:hangingChars="202"/>
        <w:rPr>
          <w:rFonts w:ascii="宋体" w:hAnsi="宋体"/>
          <w:szCs w:val="21"/>
          <w:u w:val="single"/>
        </w:rPr>
      </w:pPr>
      <w:r>
        <w:rPr>
          <w:rFonts w:hint="eastAsia" w:ascii="宋体" w:hAnsi="宋体"/>
        </w:rPr>
        <w:t>*</w:t>
      </w:r>
      <w:r>
        <w:rPr>
          <w:rFonts w:hint="eastAsia" w:ascii="宋体" w:hAnsi="宋体"/>
          <w:szCs w:val="21"/>
        </w:rPr>
        <w:t>1.1.10</w:t>
      </w:r>
      <w:r>
        <w:rPr>
          <w:rFonts w:hint="eastAsia" w:ascii="宋体"/>
          <w:spacing w:val="-5"/>
          <w:kern w:val="0"/>
          <w:szCs w:val="21"/>
        </w:rPr>
        <w:t>陶瓷刮板</w:t>
      </w:r>
      <w:r>
        <w:rPr>
          <w:rFonts w:hint="eastAsia"/>
          <w:szCs w:val="21"/>
        </w:rPr>
        <w:t>烧结温度</w:t>
      </w:r>
      <w:r>
        <w:rPr>
          <w:rFonts w:hint="eastAsia" w:ascii="宋体" w:hAnsi="宋体"/>
          <w:szCs w:val="21"/>
        </w:rPr>
        <w:t>：</w:t>
      </w:r>
    </w:p>
    <w:p>
      <w:pPr>
        <w:adjustRightInd w:val="0"/>
        <w:snapToGrid w:val="0"/>
        <w:spacing w:line="360" w:lineRule="auto"/>
        <w:ind w:left="705" w:leftChars="134" w:hanging="424" w:hangingChars="202"/>
        <w:rPr>
          <w:rFonts w:ascii="宋体" w:hAnsi="宋体"/>
          <w:szCs w:val="21"/>
          <w:u w:val="single"/>
        </w:rPr>
      </w:pPr>
      <w:r>
        <w:rPr>
          <w:rFonts w:hint="eastAsia" w:ascii="宋体" w:hAnsi="宋体"/>
        </w:rPr>
        <w:t>*</w:t>
      </w:r>
      <w:r>
        <w:rPr>
          <w:rFonts w:hint="eastAsia" w:ascii="宋体" w:hAnsi="宋体"/>
          <w:szCs w:val="21"/>
        </w:rPr>
        <w:t>1.1.11</w:t>
      </w:r>
      <w:r>
        <w:rPr>
          <w:rFonts w:hint="eastAsia" w:ascii="宋体"/>
          <w:spacing w:val="-5"/>
          <w:kern w:val="0"/>
          <w:szCs w:val="21"/>
        </w:rPr>
        <w:t>陶瓷刮板</w:t>
      </w:r>
      <w:r>
        <w:rPr>
          <w:rFonts w:hint="eastAsia"/>
          <w:szCs w:val="21"/>
        </w:rPr>
        <w:t>最高使用温度</w:t>
      </w:r>
      <w:r>
        <w:rPr>
          <w:rFonts w:hint="eastAsia" w:ascii="宋体" w:hAnsi="宋体"/>
          <w:szCs w:val="21"/>
        </w:rPr>
        <w:t>：</w:t>
      </w:r>
    </w:p>
    <w:p>
      <w:pPr>
        <w:adjustRightInd w:val="0"/>
        <w:snapToGrid w:val="0"/>
        <w:spacing w:line="360" w:lineRule="auto"/>
        <w:ind w:left="705" w:leftChars="134" w:hanging="424" w:hangingChars="202"/>
        <w:rPr>
          <w:szCs w:val="21"/>
          <w:u w:val="single"/>
        </w:rPr>
      </w:pPr>
      <w:r>
        <w:rPr>
          <w:rFonts w:hint="eastAsia" w:ascii="宋体" w:hAnsi="宋体"/>
        </w:rPr>
        <w:t>*</w:t>
      </w:r>
      <w:r>
        <w:rPr>
          <w:rFonts w:hint="eastAsia" w:ascii="宋体" w:hAnsi="宋体"/>
          <w:szCs w:val="21"/>
        </w:rPr>
        <w:t>1.1.12</w:t>
      </w:r>
      <w:r>
        <w:rPr>
          <w:rFonts w:hint="eastAsia" w:ascii="宋体"/>
          <w:spacing w:val="-5"/>
          <w:kern w:val="0"/>
          <w:szCs w:val="21"/>
        </w:rPr>
        <w:t>陶瓷刮板</w:t>
      </w:r>
      <w:r>
        <w:rPr>
          <w:rFonts w:hint="eastAsia"/>
          <w:szCs w:val="21"/>
        </w:rPr>
        <w:t>规格：</w:t>
      </w:r>
    </w:p>
    <w:p>
      <w:pPr>
        <w:adjustRightInd w:val="0"/>
        <w:snapToGrid w:val="0"/>
        <w:spacing w:line="360" w:lineRule="auto"/>
        <w:ind w:left="705" w:leftChars="134" w:hanging="424" w:hangingChars="202"/>
        <w:rPr>
          <w:rFonts w:ascii="宋体" w:hAnsi="宋体"/>
        </w:rPr>
      </w:pPr>
      <w:r>
        <w:rPr>
          <w:rFonts w:hint="eastAsia" w:ascii="宋体" w:hAnsi="宋体"/>
        </w:rPr>
        <w:t>1.2.支架</w:t>
      </w:r>
    </w:p>
    <w:p>
      <w:pPr>
        <w:adjustRightInd w:val="0"/>
        <w:snapToGrid w:val="0"/>
        <w:spacing w:line="360" w:lineRule="auto"/>
        <w:ind w:left="705" w:leftChars="134" w:hanging="424" w:hangingChars="202"/>
        <w:rPr>
          <w:szCs w:val="21"/>
          <w:u w:val="single"/>
        </w:rPr>
      </w:pPr>
      <w:r>
        <w:rPr>
          <w:rFonts w:hint="eastAsia" w:ascii="宋体" w:hAnsi="宋体"/>
        </w:rPr>
        <w:t>*</w:t>
      </w:r>
      <w:r>
        <w:rPr>
          <w:rFonts w:hint="eastAsia" w:ascii="宋体" w:hAnsi="宋体"/>
          <w:szCs w:val="21"/>
        </w:rPr>
        <w:t>1.2</w:t>
      </w:r>
      <w:r>
        <w:rPr>
          <w:rFonts w:ascii="宋体" w:hAnsi="宋体"/>
          <w:szCs w:val="21"/>
        </w:rPr>
        <w:t>.</w:t>
      </w:r>
      <w:r>
        <w:rPr>
          <w:rFonts w:hint="eastAsia" w:ascii="宋体" w:hAnsi="宋体"/>
          <w:szCs w:val="21"/>
        </w:rPr>
        <w:t>1.支架材质：</w:t>
      </w:r>
    </w:p>
    <w:p>
      <w:pPr>
        <w:adjustRightInd w:val="0"/>
        <w:snapToGrid w:val="0"/>
        <w:spacing w:line="360" w:lineRule="auto"/>
        <w:ind w:left="705" w:leftChars="134" w:hanging="424" w:hangingChars="202"/>
        <w:rPr>
          <w:rFonts w:ascii="宋体" w:hAnsi="宋体"/>
          <w:szCs w:val="21"/>
        </w:rPr>
      </w:pPr>
      <w:r>
        <w:rPr>
          <w:rFonts w:hint="eastAsia" w:ascii="宋体" w:hAnsi="宋体"/>
        </w:rPr>
        <w:t>*</w:t>
      </w:r>
      <w:r>
        <w:rPr>
          <w:rFonts w:hint="eastAsia" w:ascii="宋体" w:hAnsi="宋体"/>
          <w:szCs w:val="21"/>
        </w:rPr>
        <w:t>1.2</w:t>
      </w:r>
      <w:r>
        <w:rPr>
          <w:rFonts w:ascii="宋体" w:hAnsi="宋体"/>
          <w:szCs w:val="21"/>
        </w:rPr>
        <w:t>.</w:t>
      </w:r>
      <w:r>
        <w:rPr>
          <w:rFonts w:hint="eastAsia" w:ascii="宋体" w:hAnsi="宋体"/>
          <w:szCs w:val="21"/>
        </w:rPr>
        <w:t xml:space="preserve">2.支架规格： </w:t>
      </w:r>
    </w:p>
    <w:p>
      <w:pPr>
        <w:adjustRightInd w:val="0"/>
        <w:snapToGrid w:val="0"/>
        <w:spacing w:line="360" w:lineRule="auto"/>
        <w:ind w:left="705" w:leftChars="134" w:hanging="424" w:hangingChars="202"/>
        <w:rPr>
          <w:szCs w:val="21"/>
          <w:u w:val="single"/>
        </w:rPr>
      </w:pPr>
      <w:r>
        <w:rPr>
          <w:rFonts w:hint="eastAsia" w:ascii="宋体" w:hAnsi="宋体"/>
        </w:rPr>
        <w:t>*</w:t>
      </w:r>
      <w:r>
        <w:rPr>
          <w:rFonts w:hint="eastAsia" w:ascii="宋体" w:hAnsi="宋体"/>
          <w:szCs w:val="21"/>
        </w:rPr>
        <w:t>1.2</w:t>
      </w:r>
      <w:r>
        <w:rPr>
          <w:rFonts w:ascii="宋体" w:hAnsi="宋体"/>
          <w:szCs w:val="21"/>
        </w:rPr>
        <w:t>.</w:t>
      </w:r>
      <w:r>
        <w:rPr>
          <w:rFonts w:hint="eastAsia" w:ascii="宋体" w:hAnsi="宋体"/>
          <w:szCs w:val="21"/>
        </w:rPr>
        <w:t>3.支架表面处理：</w:t>
      </w:r>
    </w:p>
    <w:p>
      <w:pPr>
        <w:adjustRightInd w:val="0"/>
        <w:snapToGrid w:val="0"/>
        <w:spacing w:line="360" w:lineRule="auto"/>
        <w:ind w:left="705" w:leftChars="134" w:hanging="424" w:hangingChars="202"/>
        <w:rPr>
          <w:rFonts w:ascii="宋体" w:hAnsi="宋体"/>
        </w:rPr>
      </w:pPr>
      <w:r>
        <w:rPr>
          <w:rFonts w:hint="eastAsia" w:ascii="宋体" w:hAnsi="宋体"/>
        </w:rPr>
        <w:t>1.3.弹性机构</w:t>
      </w:r>
    </w:p>
    <w:p>
      <w:pPr>
        <w:adjustRightInd w:val="0"/>
        <w:snapToGrid w:val="0"/>
        <w:spacing w:line="360" w:lineRule="auto"/>
        <w:ind w:left="705" w:leftChars="134" w:hanging="424" w:hangingChars="202"/>
        <w:rPr>
          <w:szCs w:val="21"/>
          <w:u w:val="single"/>
        </w:rPr>
      </w:pPr>
      <w:r>
        <w:rPr>
          <w:rFonts w:hint="eastAsia" w:ascii="宋体" w:hAnsi="宋体"/>
        </w:rPr>
        <w:t>*</w:t>
      </w:r>
      <w:r>
        <w:rPr>
          <w:rFonts w:hint="eastAsia" w:ascii="宋体" w:hAnsi="宋体"/>
          <w:szCs w:val="21"/>
        </w:rPr>
        <w:t>1.3</w:t>
      </w:r>
      <w:r>
        <w:rPr>
          <w:rFonts w:ascii="宋体" w:hAnsi="宋体"/>
          <w:szCs w:val="21"/>
        </w:rPr>
        <w:t>.</w:t>
      </w:r>
      <w:r>
        <w:rPr>
          <w:rFonts w:hint="eastAsia" w:ascii="宋体" w:hAnsi="宋体"/>
          <w:szCs w:val="21"/>
        </w:rPr>
        <w:t>1.</w:t>
      </w:r>
      <w:r>
        <w:rPr>
          <w:rFonts w:hint="eastAsia" w:ascii="宋体" w:hAnsi="宋体"/>
        </w:rPr>
        <w:t xml:space="preserve"> 弹性机构</w:t>
      </w:r>
      <w:r>
        <w:rPr>
          <w:rFonts w:hint="eastAsia" w:ascii="宋体" w:hAnsi="宋体"/>
          <w:szCs w:val="21"/>
        </w:rPr>
        <w:t>材质：</w:t>
      </w:r>
    </w:p>
    <w:p>
      <w:pPr>
        <w:adjustRightInd w:val="0"/>
        <w:snapToGrid w:val="0"/>
        <w:spacing w:line="360" w:lineRule="auto"/>
        <w:ind w:left="705" w:leftChars="134" w:hanging="424" w:hangingChars="202"/>
        <w:rPr>
          <w:rFonts w:ascii="宋体" w:hAnsi="宋体"/>
          <w:szCs w:val="21"/>
        </w:rPr>
      </w:pPr>
      <w:r>
        <w:rPr>
          <w:rFonts w:hint="eastAsia" w:ascii="宋体" w:hAnsi="宋体"/>
        </w:rPr>
        <w:t>*</w:t>
      </w:r>
      <w:r>
        <w:rPr>
          <w:rFonts w:hint="eastAsia" w:ascii="宋体" w:hAnsi="宋体"/>
          <w:szCs w:val="21"/>
        </w:rPr>
        <w:t>1.3</w:t>
      </w:r>
      <w:r>
        <w:rPr>
          <w:rFonts w:ascii="宋体" w:hAnsi="宋体"/>
          <w:szCs w:val="21"/>
        </w:rPr>
        <w:t>.</w:t>
      </w:r>
      <w:r>
        <w:rPr>
          <w:rFonts w:hint="eastAsia" w:ascii="宋体" w:hAnsi="宋体"/>
          <w:szCs w:val="21"/>
        </w:rPr>
        <w:t>2.</w:t>
      </w:r>
      <w:r>
        <w:rPr>
          <w:rFonts w:hint="eastAsia" w:ascii="宋体" w:hAnsi="宋体"/>
        </w:rPr>
        <w:t xml:space="preserve"> 弹性机构</w:t>
      </w:r>
      <w:r>
        <w:rPr>
          <w:rFonts w:hint="eastAsia" w:ascii="宋体" w:hAnsi="宋体"/>
          <w:szCs w:val="21"/>
        </w:rPr>
        <w:t xml:space="preserve">规格： </w:t>
      </w:r>
    </w:p>
    <w:p>
      <w:pPr>
        <w:adjustRightInd w:val="0"/>
        <w:snapToGrid w:val="0"/>
        <w:spacing w:line="360" w:lineRule="auto"/>
        <w:ind w:left="705" w:leftChars="134" w:hanging="424" w:hangingChars="202"/>
        <w:rPr>
          <w:szCs w:val="21"/>
          <w:u w:val="single"/>
        </w:rPr>
      </w:pPr>
      <w:r>
        <w:rPr>
          <w:rFonts w:hint="eastAsia" w:ascii="宋体" w:hAnsi="宋体"/>
        </w:rPr>
        <w:t>*</w:t>
      </w:r>
      <w:r>
        <w:rPr>
          <w:rFonts w:hint="eastAsia" w:ascii="宋体" w:hAnsi="宋体"/>
          <w:szCs w:val="21"/>
        </w:rPr>
        <w:t>1.3</w:t>
      </w:r>
      <w:r>
        <w:rPr>
          <w:rFonts w:ascii="宋体" w:hAnsi="宋体"/>
          <w:szCs w:val="21"/>
        </w:rPr>
        <w:t>.</w:t>
      </w:r>
      <w:r>
        <w:rPr>
          <w:rFonts w:hint="eastAsia" w:ascii="宋体" w:hAnsi="宋体"/>
          <w:szCs w:val="21"/>
        </w:rPr>
        <w:t>3.</w:t>
      </w:r>
      <w:r>
        <w:rPr>
          <w:rFonts w:hint="eastAsia" w:ascii="宋体" w:hAnsi="宋体"/>
        </w:rPr>
        <w:t xml:space="preserve"> 弹性机构</w:t>
      </w:r>
      <w:r>
        <w:rPr>
          <w:rFonts w:hint="eastAsia" w:ascii="宋体" w:hAnsi="宋体"/>
          <w:szCs w:val="21"/>
        </w:rPr>
        <w:t>表面处理：</w:t>
      </w:r>
    </w:p>
    <w:p>
      <w:pPr>
        <w:widowControl/>
        <w:jc w:val="left"/>
        <w:rPr>
          <w:rFonts w:ascii="宋体"/>
          <w:szCs w:val="21"/>
        </w:rPr>
      </w:pPr>
      <w:r>
        <w:rPr>
          <w:rFonts w:ascii="宋体"/>
          <w:szCs w:val="21"/>
        </w:rPr>
        <w:br w:type="page"/>
      </w:r>
    </w:p>
    <w:p>
      <w:pPr>
        <w:pStyle w:val="16"/>
        <w:jc w:val="center"/>
        <w:rPr>
          <w:rFonts w:ascii="黑体" w:hAnsi="黑体" w:cs="Times New Roman"/>
          <w:b/>
          <w:bCs/>
          <w:sz w:val="32"/>
          <w:szCs w:val="24"/>
        </w:rPr>
      </w:pPr>
      <w:bookmarkStart w:id="2" w:name="_Toc357086143"/>
      <w:r>
        <w:rPr>
          <w:rFonts w:hint="eastAsia" w:ascii="黑体" w:hAnsi="黑体" w:cs="Times New Roman"/>
          <w:b/>
          <w:bCs/>
          <w:sz w:val="32"/>
          <w:szCs w:val="24"/>
        </w:rPr>
        <w:t>第二节 出厂前检验与交货验收</w:t>
      </w:r>
      <w:bookmarkEnd w:id="2"/>
    </w:p>
    <w:p>
      <w:pPr>
        <w:adjustRightInd w:val="0"/>
        <w:snapToGrid w:val="0"/>
        <w:spacing w:line="360" w:lineRule="auto"/>
        <w:jc w:val="center"/>
        <w:rPr>
          <w:rFonts w:ascii="宋体" w:hAnsi="宋体"/>
          <w:szCs w:val="21"/>
        </w:rPr>
      </w:pPr>
    </w:p>
    <w:p>
      <w:pPr>
        <w:adjustRightInd w:val="0"/>
        <w:snapToGrid w:val="0"/>
        <w:spacing w:beforeLines="50" w:line="360" w:lineRule="auto"/>
        <w:ind w:left="315" w:leftChars="150" w:firstLine="105" w:firstLineChars="50"/>
        <w:rPr>
          <w:rFonts w:ascii="宋体" w:hAnsi="宋体"/>
          <w:szCs w:val="21"/>
        </w:rPr>
      </w:pPr>
      <w:r>
        <w:rPr>
          <w:rFonts w:hint="eastAsia" w:ascii="宋体" w:hAnsi="宋体"/>
          <w:szCs w:val="21"/>
        </w:rPr>
        <w:t>1. 为了对合同设备及其相关设备生产期间的质量检验，招标人有权派人到</w:t>
      </w:r>
      <w:r>
        <w:rPr>
          <w:rFonts w:hint="eastAsia"/>
          <w:szCs w:val="21"/>
        </w:rPr>
        <w:t>供货</w:t>
      </w:r>
      <w:r>
        <w:rPr>
          <w:rFonts w:hint="eastAsia" w:ascii="宋体" w:hAnsi="宋体"/>
          <w:szCs w:val="21"/>
        </w:rPr>
        <w:t>人所在工厂进行检验。为便于招标人质检要求，诸如必要的安全用具、办公用品、技术文件和图纸、核算数据、制造和检验标准及其它必备的检验数据应由</w:t>
      </w:r>
      <w:r>
        <w:rPr>
          <w:rFonts w:hint="eastAsia"/>
          <w:szCs w:val="21"/>
        </w:rPr>
        <w:t>供货</w:t>
      </w:r>
      <w:r>
        <w:rPr>
          <w:rFonts w:hint="eastAsia" w:ascii="宋体" w:hAnsi="宋体"/>
          <w:szCs w:val="21"/>
        </w:rPr>
        <w:t>人提供。</w:t>
      </w:r>
    </w:p>
    <w:p>
      <w:pPr>
        <w:adjustRightInd w:val="0"/>
        <w:snapToGrid w:val="0"/>
        <w:spacing w:beforeLines="50" w:line="360" w:lineRule="auto"/>
        <w:ind w:left="315" w:leftChars="150" w:firstLine="105" w:firstLineChars="50"/>
        <w:rPr>
          <w:rFonts w:ascii="宋体" w:hAnsi="宋体"/>
          <w:szCs w:val="21"/>
        </w:rPr>
      </w:pPr>
      <w:r>
        <w:rPr>
          <w:rFonts w:hint="eastAsia" w:ascii="宋体" w:hAnsi="宋体"/>
          <w:szCs w:val="21"/>
        </w:rPr>
        <w:t>2. 在制造期间招标人的一切监理和质检活动所形成的书面资料均不作为</w:t>
      </w:r>
      <w:r>
        <w:rPr>
          <w:rFonts w:hint="eastAsia"/>
          <w:szCs w:val="21"/>
        </w:rPr>
        <w:t>供货</w:t>
      </w:r>
      <w:r>
        <w:rPr>
          <w:rFonts w:hint="eastAsia" w:ascii="宋体" w:hAnsi="宋体"/>
          <w:szCs w:val="21"/>
        </w:rPr>
        <w:t>人产品质量证明文件。在交货前招标人的质检，既不能免去合同中属于投标人质量担保期范围内的责任，也不能替代设备抵运招标人现场的质量检验。</w:t>
      </w:r>
    </w:p>
    <w:p>
      <w:pPr>
        <w:adjustRightInd w:val="0"/>
        <w:snapToGrid w:val="0"/>
        <w:spacing w:beforeLines="50" w:line="360" w:lineRule="auto"/>
        <w:ind w:left="315" w:leftChars="150" w:firstLine="105" w:firstLineChars="50"/>
        <w:rPr>
          <w:rFonts w:ascii="宋体" w:hAnsi="宋体"/>
          <w:szCs w:val="21"/>
        </w:rPr>
      </w:pPr>
      <w:r>
        <w:rPr>
          <w:rFonts w:hint="eastAsia" w:ascii="宋体" w:hAnsi="宋体"/>
          <w:szCs w:val="21"/>
        </w:rPr>
        <w:t>3．在中检中质检团成员发现或提出的问题，双方应积极通过友好的态度协商解决。</w:t>
      </w:r>
    </w:p>
    <w:p>
      <w:pPr>
        <w:adjustRightInd w:val="0"/>
        <w:snapToGrid w:val="0"/>
        <w:spacing w:beforeLines="50" w:line="360" w:lineRule="auto"/>
        <w:ind w:left="315" w:leftChars="150" w:firstLine="105" w:firstLineChars="50"/>
        <w:rPr>
          <w:rFonts w:ascii="宋体" w:hAnsi="宋体"/>
          <w:szCs w:val="21"/>
        </w:rPr>
      </w:pPr>
      <w:r>
        <w:rPr>
          <w:rFonts w:hint="eastAsia" w:ascii="宋体" w:hAnsi="宋体"/>
          <w:szCs w:val="21"/>
        </w:rPr>
        <w:t>4. 设备在出厂前必须进行整体联合试运转，根据试运转时间确定招标人终检时间，联合试运转应在招标人终检人员监督下进行。</w:t>
      </w:r>
    </w:p>
    <w:p>
      <w:pPr>
        <w:adjustRightInd w:val="0"/>
        <w:snapToGrid w:val="0"/>
        <w:spacing w:beforeLines="50" w:line="360" w:lineRule="auto"/>
        <w:ind w:left="315" w:leftChars="150" w:firstLine="105" w:firstLineChars="50"/>
        <w:rPr>
          <w:rFonts w:ascii="宋体" w:hAnsi="宋体"/>
          <w:szCs w:val="21"/>
        </w:rPr>
      </w:pPr>
      <w:r>
        <w:rPr>
          <w:rFonts w:hint="eastAsia" w:ascii="宋体" w:hAnsi="宋体"/>
          <w:szCs w:val="21"/>
        </w:rPr>
        <w:t>5. 在设备到达招标人现场后组装试运转中如出现问题，原因是</w:t>
      </w:r>
      <w:r>
        <w:rPr>
          <w:rFonts w:hint="eastAsia"/>
          <w:szCs w:val="21"/>
        </w:rPr>
        <w:t>供货</w:t>
      </w:r>
      <w:r>
        <w:rPr>
          <w:rFonts w:hint="eastAsia" w:ascii="宋体" w:hAnsi="宋体"/>
          <w:szCs w:val="21"/>
        </w:rPr>
        <w:t>人没有在出厂前进行设备整体联合试运转，因此推迟的时间将按照推迟交货期来计算。</w:t>
      </w:r>
    </w:p>
    <w:p>
      <w:pPr>
        <w:adjustRightInd w:val="0"/>
        <w:snapToGrid w:val="0"/>
        <w:spacing w:beforeLines="50" w:line="360" w:lineRule="auto"/>
        <w:ind w:left="315" w:leftChars="150" w:firstLine="105" w:firstLineChars="50"/>
        <w:rPr>
          <w:rFonts w:ascii="宋体" w:hAnsi="宋体"/>
          <w:szCs w:val="21"/>
        </w:rPr>
      </w:pPr>
      <w:r>
        <w:rPr>
          <w:rFonts w:ascii="宋体" w:hAnsi="宋体"/>
          <w:szCs w:val="21"/>
        </w:rPr>
        <w:t>6</w:t>
      </w:r>
      <w:r>
        <w:rPr>
          <w:rFonts w:hint="eastAsia" w:ascii="宋体" w:hAnsi="宋体"/>
          <w:szCs w:val="21"/>
        </w:rPr>
        <w:t>. 在该附录中：</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安装：意为招标人安装人员在</w:t>
      </w:r>
      <w:r>
        <w:rPr>
          <w:rFonts w:hint="eastAsia"/>
          <w:szCs w:val="21"/>
        </w:rPr>
        <w:t>供货</w:t>
      </w:r>
      <w:r>
        <w:rPr>
          <w:rFonts w:hint="eastAsia" w:ascii="宋体" w:hAnsi="宋体"/>
          <w:szCs w:val="21"/>
        </w:rPr>
        <w:t>人的服务工程人员的监督与指导下，将整套设备或一个系统安装起来。</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试运转：即为在空载条件下测试该设备。</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 xml:space="preserve">性能调试：即在它们的额定负载下测试设备，检查其是否能达到合同规定的所有技术性能。 </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试运行：即为设备按照合同要求性能投入运转。</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验收：即为该设备达到合同规定的试运转、性能调试和试运行技术要求后招标人正式接收。</w:t>
      </w:r>
    </w:p>
    <w:p>
      <w:pPr>
        <w:adjustRightInd w:val="0"/>
        <w:snapToGrid w:val="0"/>
        <w:spacing w:beforeLines="50" w:line="360" w:lineRule="auto"/>
        <w:ind w:left="315" w:leftChars="150"/>
        <w:rPr>
          <w:rFonts w:ascii="宋体" w:hAnsi="宋体"/>
          <w:szCs w:val="21"/>
        </w:rPr>
      </w:pPr>
      <w:r>
        <w:rPr>
          <w:rFonts w:ascii="宋体" w:hAnsi="宋体"/>
          <w:szCs w:val="21"/>
        </w:rPr>
        <w:t>7</w:t>
      </w:r>
      <w:r>
        <w:rPr>
          <w:rFonts w:hint="eastAsia" w:ascii="宋体" w:hAnsi="宋体"/>
          <w:szCs w:val="21"/>
        </w:rPr>
        <w:t>. 设备到货应随机提供出厂验收报告。</w:t>
      </w:r>
    </w:p>
    <w:p>
      <w:pPr>
        <w:adjustRightInd w:val="0"/>
        <w:snapToGrid w:val="0"/>
        <w:spacing w:beforeLines="50" w:line="360" w:lineRule="auto"/>
        <w:ind w:left="315" w:leftChars="150"/>
        <w:rPr>
          <w:rFonts w:ascii="宋体" w:hAnsi="宋体"/>
          <w:szCs w:val="21"/>
        </w:rPr>
      </w:pPr>
      <w:r>
        <w:rPr>
          <w:rFonts w:ascii="宋体" w:hAnsi="宋体"/>
          <w:szCs w:val="21"/>
        </w:rPr>
        <w:t>8</w:t>
      </w:r>
      <w:r>
        <w:rPr>
          <w:rFonts w:hint="eastAsia" w:ascii="宋体" w:hAnsi="宋体"/>
          <w:szCs w:val="21"/>
        </w:rPr>
        <w:t>．在设备经过试运转、性能调试、试运行之后，买卖双方对设备性能进行鉴定，符合合同要求，招标人出据验收证明并由</w:t>
      </w:r>
      <w:r>
        <w:rPr>
          <w:rFonts w:hint="eastAsia"/>
          <w:szCs w:val="21"/>
        </w:rPr>
        <w:t>供货</w:t>
      </w:r>
      <w:r>
        <w:rPr>
          <w:rFonts w:hint="eastAsia" w:ascii="宋体" w:hAnsi="宋体"/>
          <w:szCs w:val="21"/>
        </w:rPr>
        <w:t>人确认。验收标准为合同规定的要求和相关标准、中国国家标准、规范以及国际标准和双方认可的标准。</w:t>
      </w:r>
    </w:p>
    <w:p>
      <w:pPr>
        <w:pStyle w:val="16"/>
        <w:jc w:val="center"/>
      </w:pPr>
      <w:r>
        <w:rPr>
          <w:rFonts w:hint="eastAsia" w:ascii="宋体" w:hAnsi="宋体"/>
          <w:szCs w:val="21"/>
        </w:rPr>
        <w:br w:type="page"/>
      </w:r>
    </w:p>
    <w:p>
      <w:pPr>
        <w:pStyle w:val="16"/>
        <w:spacing w:beforeLines="50" w:afterLines="50" w:line="360" w:lineRule="auto"/>
        <w:jc w:val="center"/>
        <w:outlineLvl w:val="9"/>
        <w:rPr>
          <w:rFonts w:ascii="宋体" w:hAnsi="宋体" w:eastAsia="宋体"/>
          <w:b/>
          <w:sz w:val="24"/>
          <w:szCs w:val="24"/>
        </w:rPr>
      </w:pPr>
      <w:bookmarkStart w:id="3" w:name="_Toc357086144"/>
      <w:r>
        <w:rPr>
          <w:rFonts w:hint="eastAsia" w:ascii="黑体" w:hAnsi="黑体" w:cs="Times New Roman"/>
          <w:b/>
          <w:bCs/>
          <w:sz w:val="32"/>
          <w:szCs w:val="24"/>
        </w:rPr>
        <w:t>第三节 质量保证</w:t>
      </w:r>
    </w:p>
    <w:bookmarkEnd w:id="3"/>
    <w:p>
      <w:pPr>
        <w:widowControl/>
        <w:ind w:firstLine="420" w:firstLineChars="200"/>
        <w:jc w:val="left"/>
      </w:pPr>
      <w:r>
        <w:rPr>
          <w:rFonts w:hint="eastAsia"/>
        </w:rPr>
        <w:t>1. 质保期应为最终验收合格后12个月。对由于设计或质量问题而引起的设备故障，供货方应进一步对此负责。专用合同条款对质保有特殊规定的从其规定。</w:t>
      </w:r>
    </w:p>
    <w:p>
      <w:pPr>
        <w:widowControl/>
        <w:ind w:firstLine="420" w:firstLineChars="200"/>
        <w:jc w:val="left"/>
      </w:pPr>
      <w:r>
        <w:rPr>
          <w:rFonts w:hint="eastAsia"/>
        </w:rPr>
        <w:t>2. 供货方方质保期内应免费对产品进行维修服务，无偿更换零件、部件,更换、维修后的部件质保期从产品正常运行之日起重新计算。</w:t>
      </w:r>
    </w:p>
    <w:p>
      <w:pPr>
        <w:widowControl/>
        <w:ind w:firstLine="420" w:firstLineChars="200"/>
        <w:jc w:val="left"/>
      </w:pPr>
      <w:r>
        <w:rPr>
          <w:rFonts w:hint="eastAsia"/>
        </w:rPr>
        <w:t>3. 供货方对设备大修周期、使用寿命及各主要部件的寿命承诺。</w:t>
      </w:r>
    </w:p>
    <w:p>
      <w:pPr>
        <w:widowControl/>
        <w:ind w:firstLine="420" w:firstLineChars="200"/>
        <w:jc w:val="left"/>
      </w:pPr>
    </w:p>
    <w:p>
      <w:pPr>
        <w:widowControl/>
        <w:ind w:firstLine="422" w:firstLineChars="200"/>
        <w:jc w:val="left"/>
        <w:rPr>
          <w:b/>
        </w:rPr>
      </w:pPr>
      <w:r>
        <w:rPr>
          <w:b/>
        </w:rPr>
        <w:br w:type="page"/>
      </w:r>
    </w:p>
    <w:p>
      <w:pPr>
        <w:pStyle w:val="16"/>
        <w:spacing w:beforeLines="50" w:afterLines="50" w:line="360" w:lineRule="auto"/>
        <w:jc w:val="center"/>
        <w:outlineLvl w:val="9"/>
        <w:rPr>
          <w:rFonts w:ascii="黑体" w:hAnsi="黑体" w:cs="Times New Roman"/>
          <w:b/>
          <w:bCs/>
          <w:sz w:val="32"/>
          <w:szCs w:val="24"/>
        </w:rPr>
      </w:pPr>
      <w:r>
        <w:rPr>
          <w:rFonts w:hint="eastAsia" w:ascii="黑体" w:hAnsi="黑体" w:cs="Times New Roman"/>
          <w:b/>
          <w:bCs/>
          <w:sz w:val="32"/>
          <w:szCs w:val="24"/>
        </w:rPr>
        <w:t>第四节 标准</w:t>
      </w:r>
    </w:p>
    <w:p>
      <w:pPr>
        <w:pStyle w:val="17"/>
        <w:tabs>
          <w:tab w:val="left" w:pos="1290"/>
          <w:tab w:val="left" w:pos="1680"/>
        </w:tabs>
        <w:adjustRightInd w:val="0"/>
        <w:snapToGrid w:val="0"/>
        <w:spacing w:before="120" w:after="0" w:line="360" w:lineRule="auto"/>
        <w:rPr>
          <w:sz w:val="21"/>
          <w:szCs w:val="21"/>
        </w:rPr>
      </w:pPr>
      <w:r>
        <w:rPr>
          <w:rFonts w:hint="eastAsia"/>
          <w:sz w:val="21"/>
          <w:szCs w:val="21"/>
        </w:rPr>
        <w:t>4.</w:t>
      </w:r>
      <w:r>
        <w:rPr>
          <w:sz w:val="21"/>
          <w:szCs w:val="21"/>
        </w:rPr>
        <w:t>1.所供应的货物将按下列标准（推荐）进行设计和制造</w:t>
      </w:r>
    </w:p>
    <w:p>
      <w:pPr>
        <w:pStyle w:val="17"/>
        <w:tabs>
          <w:tab w:val="left" w:pos="550"/>
        </w:tabs>
        <w:adjustRightInd w:val="0"/>
        <w:snapToGrid w:val="0"/>
        <w:spacing w:line="360" w:lineRule="auto"/>
        <w:ind w:left="546" w:leftChars="200" w:hanging="126" w:hangingChars="60"/>
        <w:rPr>
          <w:sz w:val="21"/>
          <w:szCs w:val="21"/>
        </w:rPr>
      </w:pPr>
      <w:r>
        <w:rPr>
          <w:sz w:val="21"/>
          <w:szCs w:val="21"/>
        </w:rPr>
        <w:t>电器:     IEC标准/EN标准</w:t>
      </w:r>
    </w:p>
    <w:p>
      <w:pPr>
        <w:pStyle w:val="17"/>
        <w:tabs>
          <w:tab w:val="left" w:pos="550"/>
        </w:tabs>
        <w:adjustRightInd w:val="0"/>
        <w:snapToGrid w:val="0"/>
        <w:spacing w:line="360" w:lineRule="auto"/>
        <w:ind w:firstLine="420" w:firstLineChars="200"/>
        <w:rPr>
          <w:sz w:val="21"/>
          <w:szCs w:val="21"/>
        </w:rPr>
      </w:pPr>
      <w:r>
        <w:rPr>
          <w:sz w:val="21"/>
          <w:szCs w:val="21"/>
        </w:rPr>
        <w:t xml:space="preserve">机械:     </w:t>
      </w:r>
      <w:r>
        <w:rPr>
          <w:rFonts w:hint="eastAsia"/>
          <w:sz w:val="21"/>
          <w:szCs w:val="21"/>
        </w:rPr>
        <w:t>GB</w:t>
      </w:r>
      <w:r>
        <w:rPr>
          <w:sz w:val="21"/>
          <w:szCs w:val="21"/>
        </w:rPr>
        <w:t>标准</w:t>
      </w:r>
    </w:p>
    <w:p>
      <w:pPr>
        <w:pStyle w:val="17"/>
        <w:tabs>
          <w:tab w:val="left" w:pos="1290"/>
          <w:tab w:val="left" w:pos="1680"/>
        </w:tabs>
        <w:adjustRightInd w:val="0"/>
        <w:snapToGrid w:val="0"/>
        <w:spacing w:line="360" w:lineRule="auto"/>
        <w:rPr>
          <w:sz w:val="21"/>
          <w:szCs w:val="21"/>
        </w:rPr>
      </w:pPr>
      <w:r>
        <w:rPr>
          <w:rFonts w:hint="eastAsia"/>
          <w:sz w:val="21"/>
          <w:szCs w:val="21"/>
        </w:rPr>
        <w:t>4.</w:t>
      </w:r>
      <w:r>
        <w:rPr>
          <w:sz w:val="21"/>
          <w:szCs w:val="21"/>
        </w:rPr>
        <w:t>2.设备的设计与制造要求采用国际公制单位，个别部件采用英制单位应列出清单。</w:t>
      </w:r>
    </w:p>
    <w:p>
      <w:pPr>
        <w:pStyle w:val="17"/>
        <w:tabs>
          <w:tab w:val="left" w:pos="1290"/>
          <w:tab w:val="left" w:pos="1680"/>
        </w:tabs>
        <w:adjustRightInd w:val="0"/>
        <w:snapToGrid w:val="0"/>
        <w:spacing w:line="360" w:lineRule="auto"/>
        <w:rPr>
          <w:sz w:val="21"/>
          <w:szCs w:val="21"/>
        </w:rPr>
      </w:pPr>
      <w:r>
        <w:rPr>
          <w:rFonts w:hint="eastAsia"/>
          <w:sz w:val="21"/>
          <w:szCs w:val="21"/>
        </w:rPr>
        <w:t>4.</w:t>
      </w:r>
      <w:r>
        <w:rPr>
          <w:sz w:val="21"/>
          <w:szCs w:val="21"/>
        </w:rPr>
        <w:t>3.上述标准均应为</w:t>
      </w:r>
      <w:r>
        <w:rPr>
          <w:rFonts w:hint="eastAsia"/>
          <w:sz w:val="21"/>
          <w:szCs w:val="21"/>
        </w:rPr>
        <w:t>投</w:t>
      </w:r>
      <w:r>
        <w:rPr>
          <w:sz w:val="21"/>
          <w:szCs w:val="21"/>
        </w:rPr>
        <w:t>标截止日时的最新有效版</w:t>
      </w:r>
      <w:r>
        <w:rPr>
          <w:rFonts w:hint="eastAsia"/>
          <w:sz w:val="21"/>
          <w:szCs w:val="21"/>
        </w:rPr>
        <w:t>。</w:t>
      </w:r>
    </w:p>
    <w:p>
      <w:pPr>
        <w:pStyle w:val="17"/>
        <w:tabs>
          <w:tab w:val="left" w:pos="1290"/>
          <w:tab w:val="left" w:pos="1680"/>
        </w:tabs>
        <w:adjustRightInd w:val="0"/>
        <w:snapToGrid w:val="0"/>
        <w:spacing w:line="360" w:lineRule="auto"/>
        <w:rPr>
          <w:sz w:val="21"/>
          <w:szCs w:val="21"/>
        </w:rPr>
      </w:pPr>
    </w:p>
    <w:p>
      <w:pPr>
        <w:widowControl/>
        <w:jc w:val="left"/>
        <w:rPr>
          <w:b/>
        </w:rPr>
      </w:pPr>
    </w:p>
    <w:p>
      <w:pPr>
        <w:widowControl/>
        <w:jc w:val="left"/>
        <w:rPr>
          <w:b/>
        </w:rPr>
      </w:pPr>
    </w:p>
    <w:p>
      <w:pPr>
        <w:widowControl/>
        <w:jc w:val="left"/>
        <w:rPr>
          <w:b/>
        </w:rPr>
      </w:pPr>
    </w:p>
    <w:p>
      <w:pPr>
        <w:widowControl/>
        <w:jc w:val="left"/>
        <w:rPr>
          <w:b/>
        </w:rPr>
      </w:pPr>
    </w:p>
    <w:p>
      <w:pPr>
        <w:widowControl/>
        <w:jc w:val="left"/>
        <w:rPr>
          <w:b/>
        </w:rPr>
      </w:pPr>
    </w:p>
    <w:p>
      <w:pPr>
        <w:widowControl/>
        <w:jc w:val="left"/>
        <w:rPr>
          <w:b/>
        </w:rPr>
      </w:pPr>
    </w:p>
    <w:p>
      <w:pPr>
        <w:widowControl/>
        <w:jc w:val="left"/>
        <w:rPr>
          <w:b/>
        </w:rPr>
      </w:pPr>
    </w:p>
    <w:p>
      <w:pPr>
        <w:widowControl/>
        <w:jc w:val="left"/>
        <w:rPr>
          <w:b/>
        </w:rPr>
      </w:pPr>
    </w:p>
    <w:p>
      <w:pPr>
        <w:widowControl/>
        <w:jc w:val="left"/>
        <w:rPr>
          <w:b/>
        </w:rPr>
      </w:pPr>
    </w:p>
    <w:p>
      <w:pPr>
        <w:widowControl/>
        <w:jc w:val="left"/>
        <w:rPr>
          <w:b/>
        </w:rPr>
      </w:pPr>
    </w:p>
    <w:p>
      <w:pPr>
        <w:widowControl/>
        <w:jc w:val="left"/>
        <w:rPr>
          <w:b/>
        </w:rPr>
      </w:pPr>
    </w:p>
    <w:p>
      <w:pPr>
        <w:widowControl/>
        <w:jc w:val="left"/>
        <w:rPr>
          <w:b/>
        </w:rPr>
      </w:pPr>
    </w:p>
    <w:p>
      <w:pPr>
        <w:widowControl/>
        <w:jc w:val="left"/>
        <w:rPr>
          <w:b/>
        </w:rPr>
      </w:pPr>
    </w:p>
    <w:p>
      <w:pPr>
        <w:widowControl/>
        <w:jc w:val="left"/>
        <w:rPr>
          <w:b/>
        </w:rPr>
      </w:pPr>
    </w:p>
    <w:p>
      <w:pPr>
        <w:widowControl/>
        <w:jc w:val="left"/>
        <w:rPr>
          <w:b/>
        </w:rPr>
      </w:pPr>
    </w:p>
    <w:p>
      <w:pPr>
        <w:widowControl/>
        <w:jc w:val="left"/>
        <w:rPr>
          <w:b/>
        </w:rPr>
      </w:pPr>
    </w:p>
    <w:p>
      <w:pPr>
        <w:widowControl/>
        <w:jc w:val="left"/>
        <w:rPr>
          <w:b/>
        </w:rPr>
      </w:pPr>
    </w:p>
    <w:p>
      <w:pPr>
        <w:widowControl/>
        <w:jc w:val="left"/>
        <w:rPr>
          <w:b/>
        </w:rPr>
      </w:pPr>
    </w:p>
    <w:p>
      <w:pPr>
        <w:widowControl/>
        <w:jc w:val="left"/>
        <w:rPr>
          <w:b/>
        </w:rPr>
      </w:pPr>
    </w:p>
    <w:p>
      <w:pPr>
        <w:widowControl/>
        <w:jc w:val="left"/>
        <w:rPr>
          <w:b/>
        </w:rPr>
      </w:pPr>
    </w:p>
    <w:p>
      <w:pPr>
        <w:widowControl/>
        <w:jc w:val="left"/>
        <w:rPr>
          <w:b/>
        </w:rPr>
      </w:pPr>
    </w:p>
    <w:p>
      <w:pPr>
        <w:widowControl/>
        <w:jc w:val="left"/>
        <w:rPr>
          <w:b/>
        </w:rPr>
      </w:pPr>
    </w:p>
    <w:p>
      <w:pPr>
        <w:widowControl/>
        <w:jc w:val="left"/>
        <w:rPr>
          <w:b/>
        </w:rPr>
      </w:pPr>
    </w:p>
    <w:p>
      <w:pPr>
        <w:widowControl/>
        <w:jc w:val="left"/>
        <w:rPr>
          <w:b/>
        </w:rPr>
      </w:pPr>
    </w:p>
    <w:p>
      <w:pPr>
        <w:widowControl/>
        <w:jc w:val="left"/>
        <w:rPr>
          <w:b/>
        </w:rPr>
      </w:pPr>
    </w:p>
    <w:p>
      <w:pPr>
        <w:widowControl/>
        <w:jc w:val="left"/>
        <w:rPr>
          <w:b/>
        </w:rPr>
      </w:pPr>
    </w:p>
    <w:p>
      <w:pPr>
        <w:widowControl/>
        <w:jc w:val="left"/>
        <w:rPr>
          <w:b/>
        </w:rPr>
      </w:pPr>
    </w:p>
    <w:p>
      <w:pPr>
        <w:pStyle w:val="17"/>
        <w:tabs>
          <w:tab w:val="left" w:pos="1290"/>
          <w:tab w:val="left" w:pos="1680"/>
        </w:tabs>
        <w:adjustRightInd w:val="0"/>
        <w:snapToGrid w:val="0"/>
        <w:spacing w:line="360" w:lineRule="auto"/>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Verdana">
    <w:panose1 w:val="020B0604030504040204"/>
    <w:charset w:val="00"/>
    <w:family w:val="swiss"/>
    <w:pitch w:val="default"/>
    <w:sig w:usb0="A10006FF" w:usb1="4000205B" w:usb2="00000010" w:usb3="00000000" w:csb0="2000019F" w:csb1="0000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rsids>
    <w:rsidRoot w:val="00324AED"/>
    <w:rsid w:val="000109C0"/>
    <w:rsid w:val="00015381"/>
    <w:rsid w:val="00020447"/>
    <w:rsid w:val="00034491"/>
    <w:rsid w:val="000349FF"/>
    <w:rsid w:val="00040B00"/>
    <w:rsid w:val="00040FAA"/>
    <w:rsid w:val="00046393"/>
    <w:rsid w:val="000532D7"/>
    <w:rsid w:val="0006286D"/>
    <w:rsid w:val="00062A06"/>
    <w:rsid w:val="00074BAA"/>
    <w:rsid w:val="0008777B"/>
    <w:rsid w:val="000B4A8F"/>
    <w:rsid w:val="000C002E"/>
    <w:rsid w:val="000D0D6B"/>
    <w:rsid w:val="000D5B51"/>
    <w:rsid w:val="000E7E5F"/>
    <w:rsid w:val="000F7B2D"/>
    <w:rsid w:val="00142DC8"/>
    <w:rsid w:val="00152AAB"/>
    <w:rsid w:val="00155A24"/>
    <w:rsid w:val="001608A6"/>
    <w:rsid w:val="00162CD6"/>
    <w:rsid w:val="0017236C"/>
    <w:rsid w:val="00173B13"/>
    <w:rsid w:val="00175505"/>
    <w:rsid w:val="001803C1"/>
    <w:rsid w:val="001C2A35"/>
    <w:rsid w:val="001F4947"/>
    <w:rsid w:val="001F593C"/>
    <w:rsid w:val="00205A97"/>
    <w:rsid w:val="00207DB2"/>
    <w:rsid w:val="00213B0F"/>
    <w:rsid w:val="00231179"/>
    <w:rsid w:val="0023500D"/>
    <w:rsid w:val="00243118"/>
    <w:rsid w:val="0024361C"/>
    <w:rsid w:val="00247066"/>
    <w:rsid w:val="00254199"/>
    <w:rsid w:val="00255BF8"/>
    <w:rsid w:val="002633A5"/>
    <w:rsid w:val="0027610A"/>
    <w:rsid w:val="00277706"/>
    <w:rsid w:val="00287971"/>
    <w:rsid w:val="002902C1"/>
    <w:rsid w:val="00292D0F"/>
    <w:rsid w:val="002A0807"/>
    <w:rsid w:val="002B31E9"/>
    <w:rsid w:val="002B606E"/>
    <w:rsid w:val="002C2B1B"/>
    <w:rsid w:val="002D5BFD"/>
    <w:rsid w:val="002E17F4"/>
    <w:rsid w:val="002E4385"/>
    <w:rsid w:val="0030306D"/>
    <w:rsid w:val="003133E1"/>
    <w:rsid w:val="00314118"/>
    <w:rsid w:val="00315A14"/>
    <w:rsid w:val="00324547"/>
    <w:rsid w:val="00324AED"/>
    <w:rsid w:val="003370AA"/>
    <w:rsid w:val="003415E0"/>
    <w:rsid w:val="003417A1"/>
    <w:rsid w:val="00343D04"/>
    <w:rsid w:val="00346425"/>
    <w:rsid w:val="0035078E"/>
    <w:rsid w:val="003538D6"/>
    <w:rsid w:val="00355943"/>
    <w:rsid w:val="003566FD"/>
    <w:rsid w:val="0035699D"/>
    <w:rsid w:val="0036001B"/>
    <w:rsid w:val="003708D1"/>
    <w:rsid w:val="003764FB"/>
    <w:rsid w:val="00386656"/>
    <w:rsid w:val="003A43AD"/>
    <w:rsid w:val="003B3881"/>
    <w:rsid w:val="003B3F9D"/>
    <w:rsid w:val="003D0832"/>
    <w:rsid w:val="003D621C"/>
    <w:rsid w:val="003F38A7"/>
    <w:rsid w:val="003F6335"/>
    <w:rsid w:val="004013AD"/>
    <w:rsid w:val="004021E7"/>
    <w:rsid w:val="00405B14"/>
    <w:rsid w:val="00413602"/>
    <w:rsid w:val="00415933"/>
    <w:rsid w:val="004171CC"/>
    <w:rsid w:val="00424C95"/>
    <w:rsid w:val="00433399"/>
    <w:rsid w:val="00440985"/>
    <w:rsid w:val="00461056"/>
    <w:rsid w:val="00462545"/>
    <w:rsid w:val="0046284D"/>
    <w:rsid w:val="00481D87"/>
    <w:rsid w:val="00493E79"/>
    <w:rsid w:val="004954E0"/>
    <w:rsid w:val="004A2AEA"/>
    <w:rsid w:val="004A5487"/>
    <w:rsid w:val="004A5A90"/>
    <w:rsid w:val="004D4587"/>
    <w:rsid w:val="004E0346"/>
    <w:rsid w:val="004E5B57"/>
    <w:rsid w:val="004F2D6A"/>
    <w:rsid w:val="004F3F2B"/>
    <w:rsid w:val="004F5D0C"/>
    <w:rsid w:val="004F7AB4"/>
    <w:rsid w:val="00500A61"/>
    <w:rsid w:val="00501850"/>
    <w:rsid w:val="00502BE3"/>
    <w:rsid w:val="0050670E"/>
    <w:rsid w:val="005210D7"/>
    <w:rsid w:val="005210E1"/>
    <w:rsid w:val="00522FE4"/>
    <w:rsid w:val="00524A09"/>
    <w:rsid w:val="005357F0"/>
    <w:rsid w:val="00540ACE"/>
    <w:rsid w:val="00543472"/>
    <w:rsid w:val="00544D56"/>
    <w:rsid w:val="00564646"/>
    <w:rsid w:val="0057257A"/>
    <w:rsid w:val="00595E43"/>
    <w:rsid w:val="00596F47"/>
    <w:rsid w:val="005A693C"/>
    <w:rsid w:val="005A6A5C"/>
    <w:rsid w:val="005B215D"/>
    <w:rsid w:val="005B7C05"/>
    <w:rsid w:val="005C1073"/>
    <w:rsid w:val="005C1D0D"/>
    <w:rsid w:val="005C2EC1"/>
    <w:rsid w:val="005C3AC3"/>
    <w:rsid w:val="005D117A"/>
    <w:rsid w:val="005E1806"/>
    <w:rsid w:val="005E2C8D"/>
    <w:rsid w:val="005F1F39"/>
    <w:rsid w:val="005F6C66"/>
    <w:rsid w:val="00604F0E"/>
    <w:rsid w:val="00607817"/>
    <w:rsid w:val="006118E4"/>
    <w:rsid w:val="00616668"/>
    <w:rsid w:val="00622085"/>
    <w:rsid w:val="00644CBA"/>
    <w:rsid w:val="0064539F"/>
    <w:rsid w:val="00652874"/>
    <w:rsid w:val="0065624F"/>
    <w:rsid w:val="0065673C"/>
    <w:rsid w:val="0067439F"/>
    <w:rsid w:val="00674855"/>
    <w:rsid w:val="0068763C"/>
    <w:rsid w:val="00695B06"/>
    <w:rsid w:val="006B3D97"/>
    <w:rsid w:val="006C2B88"/>
    <w:rsid w:val="006C3017"/>
    <w:rsid w:val="006C3ED5"/>
    <w:rsid w:val="006D30B3"/>
    <w:rsid w:val="006D365C"/>
    <w:rsid w:val="006D7121"/>
    <w:rsid w:val="006E52DC"/>
    <w:rsid w:val="006F7261"/>
    <w:rsid w:val="007144CE"/>
    <w:rsid w:val="0072646E"/>
    <w:rsid w:val="0073246F"/>
    <w:rsid w:val="00734DF3"/>
    <w:rsid w:val="007404F7"/>
    <w:rsid w:val="0074278F"/>
    <w:rsid w:val="00765FB3"/>
    <w:rsid w:val="007673B9"/>
    <w:rsid w:val="00782F74"/>
    <w:rsid w:val="00786E22"/>
    <w:rsid w:val="00786ECA"/>
    <w:rsid w:val="00787C19"/>
    <w:rsid w:val="00790A71"/>
    <w:rsid w:val="00796B6E"/>
    <w:rsid w:val="007A37E8"/>
    <w:rsid w:val="007A5778"/>
    <w:rsid w:val="007A7F03"/>
    <w:rsid w:val="007B4B26"/>
    <w:rsid w:val="007C1437"/>
    <w:rsid w:val="007D0BF6"/>
    <w:rsid w:val="007D1C2F"/>
    <w:rsid w:val="007E32CA"/>
    <w:rsid w:val="007E5832"/>
    <w:rsid w:val="007E5ACB"/>
    <w:rsid w:val="007E6C86"/>
    <w:rsid w:val="00806923"/>
    <w:rsid w:val="0080693E"/>
    <w:rsid w:val="00807102"/>
    <w:rsid w:val="008156D9"/>
    <w:rsid w:val="00821955"/>
    <w:rsid w:val="00826F56"/>
    <w:rsid w:val="0083250C"/>
    <w:rsid w:val="0083563D"/>
    <w:rsid w:val="00840020"/>
    <w:rsid w:val="00843418"/>
    <w:rsid w:val="00845825"/>
    <w:rsid w:val="00853966"/>
    <w:rsid w:val="00855944"/>
    <w:rsid w:val="00857787"/>
    <w:rsid w:val="00876AA9"/>
    <w:rsid w:val="00881676"/>
    <w:rsid w:val="00882500"/>
    <w:rsid w:val="0088601A"/>
    <w:rsid w:val="00890998"/>
    <w:rsid w:val="00897BC6"/>
    <w:rsid w:val="008C2E31"/>
    <w:rsid w:val="008D41CF"/>
    <w:rsid w:val="008E4684"/>
    <w:rsid w:val="008F6198"/>
    <w:rsid w:val="008F7C7E"/>
    <w:rsid w:val="00905422"/>
    <w:rsid w:val="009054B3"/>
    <w:rsid w:val="0092369C"/>
    <w:rsid w:val="00923AA5"/>
    <w:rsid w:val="00943FA8"/>
    <w:rsid w:val="00944A60"/>
    <w:rsid w:val="00947716"/>
    <w:rsid w:val="00947E03"/>
    <w:rsid w:val="009555FC"/>
    <w:rsid w:val="0096100E"/>
    <w:rsid w:val="009631B8"/>
    <w:rsid w:val="00986153"/>
    <w:rsid w:val="00992860"/>
    <w:rsid w:val="00992BDB"/>
    <w:rsid w:val="00993163"/>
    <w:rsid w:val="009933CD"/>
    <w:rsid w:val="0099509B"/>
    <w:rsid w:val="00996A9F"/>
    <w:rsid w:val="009A1731"/>
    <w:rsid w:val="009A3F6D"/>
    <w:rsid w:val="009B7AFD"/>
    <w:rsid w:val="009C05A8"/>
    <w:rsid w:val="009C560A"/>
    <w:rsid w:val="009D05E6"/>
    <w:rsid w:val="009D16D9"/>
    <w:rsid w:val="009F0088"/>
    <w:rsid w:val="009F700A"/>
    <w:rsid w:val="00A0156C"/>
    <w:rsid w:val="00A1147B"/>
    <w:rsid w:val="00A116B9"/>
    <w:rsid w:val="00A14213"/>
    <w:rsid w:val="00A2367D"/>
    <w:rsid w:val="00A25B21"/>
    <w:rsid w:val="00A30913"/>
    <w:rsid w:val="00A36918"/>
    <w:rsid w:val="00A4362D"/>
    <w:rsid w:val="00A52B61"/>
    <w:rsid w:val="00A6162C"/>
    <w:rsid w:val="00A678FB"/>
    <w:rsid w:val="00A67AA5"/>
    <w:rsid w:val="00A8273B"/>
    <w:rsid w:val="00A86507"/>
    <w:rsid w:val="00A868E3"/>
    <w:rsid w:val="00A90896"/>
    <w:rsid w:val="00A9110C"/>
    <w:rsid w:val="00AA1072"/>
    <w:rsid w:val="00AA563E"/>
    <w:rsid w:val="00AB7D21"/>
    <w:rsid w:val="00AB7E73"/>
    <w:rsid w:val="00AC3394"/>
    <w:rsid w:val="00AD68D8"/>
    <w:rsid w:val="00AE2322"/>
    <w:rsid w:val="00AE3F1F"/>
    <w:rsid w:val="00AE66AF"/>
    <w:rsid w:val="00AF260A"/>
    <w:rsid w:val="00B031C1"/>
    <w:rsid w:val="00B03A0D"/>
    <w:rsid w:val="00B045D4"/>
    <w:rsid w:val="00B078AA"/>
    <w:rsid w:val="00B10346"/>
    <w:rsid w:val="00B15920"/>
    <w:rsid w:val="00B1737F"/>
    <w:rsid w:val="00B24159"/>
    <w:rsid w:val="00B246C9"/>
    <w:rsid w:val="00B32769"/>
    <w:rsid w:val="00B335EE"/>
    <w:rsid w:val="00B35D2D"/>
    <w:rsid w:val="00B40771"/>
    <w:rsid w:val="00B42553"/>
    <w:rsid w:val="00B45AE6"/>
    <w:rsid w:val="00B479F5"/>
    <w:rsid w:val="00B615D0"/>
    <w:rsid w:val="00B6712E"/>
    <w:rsid w:val="00B73000"/>
    <w:rsid w:val="00B81CAE"/>
    <w:rsid w:val="00B8459D"/>
    <w:rsid w:val="00B87E71"/>
    <w:rsid w:val="00B93EF8"/>
    <w:rsid w:val="00BB3B5C"/>
    <w:rsid w:val="00BC1A1D"/>
    <w:rsid w:val="00BC7C25"/>
    <w:rsid w:val="00BD126A"/>
    <w:rsid w:val="00BD3068"/>
    <w:rsid w:val="00BF1B41"/>
    <w:rsid w:val="00C005E2"/>
    <w:rsid w:val="00C04844"/>
    <w:rsid w:val="00C11C9A"/>
    <w:rsid w:val="00C17F9C"/>
    <w:rsid w:val="00C22C5C"/>
    <w:rsid w:val="00C3204C"/>
    <w:rsid w:val="00C4031E"/>
    <w:rsid w:val="00C4115D"/>
    <w:rsid w:val="00C41EDA"/>
    <w:rsid w:val="00C53DAE"/>
    <w:rsid w:val="00C56484"/>
    <w:rsid w:val="00C56E68"/>
    <w:rsid w:val="00C61510"/>
    <w:rsid w:val="00C61BEE"/>
    <w:rsid w:val="00C655FD"/>
    <w:rsid w:val="00C82F57"/>
    <w:rsid w:val="00C87C9F"/>
    <w:rsid w:val="00C904D9"/>
    <w:rsid w:val="00C945CD"/>
    <w:rsid w:val="00CA1942"/>
    <w:rsid w:val="00CA2AAB"/>
    <w:rsid w:val="00CA6ADA"/>
    <w:rsid w:val="00CB68B2"/>
    <w:rsid w:val="00CC186D"/>
    <w:rsid w:val="00CC69D5"/>
    <w:rsid w:val="00CD5D1D"/>
    <w:rsid w:val="00CD77E9"/>
    <w:rsid w:val="00CE2302"/>
    <w:rsid w:val="00CF3036"/>
    <w:rsid w:val="00D04856"/>
    <w:rsid w:val="00D0517C"/>
    <w:rsid w:val="00D10234"/>
    <w:rsid w:val="00D15AFD"/>
    <w:rsid w:val="00D15FAC"/>
    <w:rsid w:val="00D20934"/>
    <w:rsid w:val="00D33006"/>
    <w:rsid w:val="00D43F0D"/>
    <w:rsid w:val="00D45A07"/>
    <w:rsid w:val="00D50A55"/>
    <w:rsid w:val="00D85018"/>
    <w:rsid w:val="00D93117"/>
    <w:rsid w:val="00D95D3F"/>
    <w:rsid w:val="00DA4732"/>
    <w:rsid w:val="00DC0DF1"/>
    <w:rsid w:val="00DC42CF"/>
    <w:rsid w:val="00DD144E"/>
    <w:rsid w:val="00DD1B16"/>
    <w:rsid w:val="00DD3E50"/>
    <w:rsid w:val="00DE1BDB"/>
    <w:rsid w:val="00DE243A"/>
    <w:rsid w:val="00DF1AC2"/>
    <w:rsid w:val="00E00421"/>
    <w:rsid w:val="00E050EF"/>
    <w:rsid w:val="00E12326"/>
    <w:rsid w:val="00E12EBD"/>
    <w:rsid w:val="00E17E02"/>
    <w:rsid w:val="00E33525"/>
    <w:rsid w:val="00E43180"/>
    <w:rsid w:val="00E4526B"/>
    <w:rsid w:val="00E45468"/>
    <w:rsid w:val="00E461DF"/>
    <w:rsid w:val="00E47C42"/>
    <w:rsid w:val="00E62120"/>
    <w:rsid w:val="00E70FE5"/>
    <w:rsid w:val="00E73DE8"/>
    <w:rsid w:val="00E74C50"/>
    <w:rsid w:val="00E8366B"/>
    <w:rsid w:val="00E91D96"/>
    <w:rsid w:val="00EA3C6E"/>
    <w:rsid w:val="00EB08C9"/>
    <w:rsid w:val="00EB7AB9"/>
    <w:rsid w:val="00EC173B"/>
    <w:rsid w:val="00EC35BC"/>
    <w:rsid w:val="00EC4934"/>
    <w:rsid w:val="00EC5962"/>
    <w:rsid w:val="00ED25CB"/>
    <w:rsid w:val="00EE23A6"/>
    <w:rsid w:val="00EE66B8"/>
    <w:rsid w:val="00F02E92"/>
    <w:rsid w:val="00F07A58"/>
    <w:rsid w:val="00F15AC7"/>
    <w:rsid w:val="00F16511"/>
    <w:rsid w:val="00F24373"/>
    <w:rsid w:val="00F312BC"/>
    <w:rsid w:val="00F3355C"/>
    <w:rsid w:val="00F43474"/>
    <w:rsid w:val="00F52D63"/>
    <w:rsid w:val="00F54464"/>
    <w:rsid w:val="00F54953"/>
    <w:rsid w:val="00F65DF8"/>
    <w:rsid w:val="00F76074"/>
    <w:rsid w:val="00F76586"/>
    <w:rsid w:val="00F918FA"/>
    <w:rsid w:val="00F91919"/>
    <w:rsid w:val="00F92D03"/>
    <w:rsid w:val="00FA6B21"/>
    <w:rsid w:val="00FB3542"/>
    <w:rsid w:val="00FC6B4B"/>
    <w:rsid w:val="00FD776B"/>
    <w:rsid w:val="00FE5241"/>
    <w:rsid w:val="00FF6988"/>
    <w:rsid w:val="03554EE2"/>
    <w:rsid w:val="1522643D"/>
    <w:rsid w:val="172E3C63"/>
    <w:rsid w:val="19604A4D"/>
    <w:rsid w:val="1B9E4CE8"/>
    <w:rsid w:val="24942B64"/>
    <w:rsid w:val="276F0919"/>
    <w:rsid w:val="288D19DC"/>
    <w:rsid w:val="29AB7F65"/>
    <w:rsid w:val="300B7449"/>
    <w:rsid w:val="3B037094"/>
    <w:rsid w:val="3C983223"/>
    <w:rsid w:val="50643969"/>
    <w:rsid w:val="5FAC3258"/>
    <w:rsid w:val="659C71BB"/>
    <w:rsid w:val="71F17948"/>
    <w:rsid w:val="77040C22"/>
    <w:rsid w:val="792D1779"/>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qFormat="1" w:unhideWhenUsed="0" w:uiPriority="0" w:semiHidden="0" w:name="footnote text"/>
    <w:lsdException w:qFormat="1" w:uiPriority="99" w:semiHidden="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qFormat="1" w:unhideWhenUsed="0" w:uiPriority="0" w:semiHidden="0" w:name="footnote reference"/>
    <w:lsdException w:qFormat="1"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23"/>
    <w:unhideWhenUsed/>
    <w:qFormat/>
    <w:uiPriority w:val="9"/>
    <w:pPr>
      <w:keepNext/>
      <w:keepLines/>
      <w:spacing w:before="260" w:after="260" w:line="416" w:lineRule="auto"/>
      <w:outlineLvl w:val="1"/>
    </w:pPr>
    <w:rPr>
      <w:rFonts w:ascii="Cambria" w:hAnsi="Cambria" w:cs="黑体"/>
      <w:b/>
      <w:bCs/>
      <w:sz w:val="32"/>
      <w:szCs w:val="32"/>
    </w:rPr>
  </w:style>
  <w:style w:type="character" w:default="1" w:styleId="12">
    <w:name w:val="Default Paragraph Font"/>
    <w:unhideWhenUsed/>
    <w:qFormat/>
    <w:uiPriority w:val="1"/>
  </w:style>
  <w:style w:type="table" w:default="1" w:styleId="15">
    <w:name w:val="Normal Table"/>
    <w:unhideWhenUsed/>
    <w:qFormat/>
    <w:uiPriority w:val="99"/>
    <w:tblPr>
      <w:tblLayout w:type="fixed"/>
      <w:tblCellMar>
        <w:top w:w="0" w:type="dxa"/>
        <w:left w:w="108" w:type="dxa"/>
        <w:bottom w:w="0" w:type="dxa"/>
        <w:right w:w="108" w:type="dxa"/>
      </w:tblCellMar>
    </w:tblPr>
  </w:style>
  <w:style w:type="paragraph" w:styleId="4">
    <w:name w:val="annotation subject"/>
    <w:basedOn w:val="5"/>
    <w:next w:val="5"/>
    <w:link w:val="28"/>
    <w:unhideWhenUsed/>
    <w:qFormat/>
    <w:uiPriority w:val="99"/>
    <w:rPr>
      <w:b/>
      <w:bCs/>
    </w:rPr>
  </w:style>
  <w:style w:type="paragraph" w:styleId="5">
    <w:name w:val="annotation text"/>
    <w:basedOn w:val="1"/>
    <w:link w:val="27"/>
    <w:unhideWhenUsed/>
    <w:qFormat/>
    <w:uiPriority w:val="99"/>
    <w:pPr>
      <w:jc w:val="left"/>
    </w:pPr>
  </w:style>
  <w:style w:type="paragraph" w:styleId="6">
    <w:name w:val="Body Text"/>
    <w:basedOn w:val="1"/>
    <w:link w:val="24"/>
    <w:qFormat/>
    <w:uiPriority w:val="0"/>
    <w:pPr>
      <w:spacing w:after="120"/>
    </w:pPr>
  </w:style>
  <w:style w:type="paragraph" w:styleId="7">
    <w:name w:val="Balloon Text"/>
    <w:basedOn w:val="1"/>
    <w:link w:val="29"/>
    <w:unhideWhenUsed/>
    <w:qFormat/>
    <w:uiPriority w:val="99"/>
    <w:rPr>
      <w:sz w:val="18"/>
      <w:szCs w:val="18"/>
    </w:rPr>
  </w:style>
  <w:style w:type="paragraph" w:styleId="8">
    <w:name w:val="footer"/>
    <w:basedOn w:val="1"/>
    <w:link w:val="26"/>
    <w:unhideWhenUsed/>
    <w:qFormat/>
    <w:uiPriority w:val="99"/>
    <w:pPr>
      <w:tabs>
        <w:tab w:val="center" w:pos="4153"/>
        <w:tab w:val="right" w:pos="8306"/>
      </w:tabs>
      <w:snapToGrid w:val="0"/>
      <w:jc w:val="left"/>
    </w:pPr>
    <w:rPr>
      <w:sz w:val="18"/>
      <w:szCs w:val="18"/>
    </w:rPr>
  </w:style>
  <w:style w:type="paragraph" w:styleId="9">
    <w:name w:val="header"/>
    <w:basedOn w:val="1"/>
    <w:link w:val="25"/>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footnote text"/>
    <w:basedOn w:val="1"/>
    <w:link w:val="22"/>
    <w:qFormat/>
    <w:uiPriority w:val="0"/>
    <w:pPr>
      <w:snapToGrid w:val="0"/>
      <w:jc w:val="left"/>
    </w:pPr>
    <w:rPr>
      <w:sz w:val="18"/>
      <w:szCs w:val="18"/>
    </w:rPr>
  </w:style>
  <w:style w:type="paragraph" w:styleId="11">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character" w:styleId="13">
    <w:name w:val="annotation reference"/>
    <w:basedOn w:val="12"/>
    <w:unhideWhenUsed/>
    <w:qFormat/>
    <w:uiPriority w:val="99"/>
    <w:rPr>
      <w:sz w:val="21"/>
      <w:szCs w:val="21"/>
    </w:rPr>
  </w:style>
  <w:style w:type="character" w:styleId="14">
    <w:name w:val="footnote reference"/>
    <w:qFormat/>
    <w:uiPriority w:val="0"/>
    <w:rPr>
      <w:vertAlign w:val="superscript"/>
    </w:rPr>
  </w:style>
  <w:style w:type="paragraph" w:customStyle="1" w:styleId="16">
    <w:name w:val="样式 标题 2 + Times New Roman 四号 非加粗 段前: 5 磅 段后: 0 磅 行距: 固定值 20..."/>
    <w:basedOn w:val="3"/>
    <w:qFormat/>
    <w:uiPriority w:val="0"/>
    <w:pPr>
      <w:spacing w:before="100" w:after="0" w:line="400" w:lineRule="exact"/>
    </w:pPr>
    <w:rPr>
      <w:rFonts w:ascii="Times New Roman" w:hAnsi="Times New Roman" w:eastAsia="黑体" w:cs="宋体"/>
      <w:b w:val="0"/>
      <w:bCs w:val="0"/>
      <w:sz w:val="28"/>
      <w:szCs w:val="20"/>
    </w:rPr>
  </w:style>
  <w:style w:type="paragraph" w:customStyle="1" w:styleId="17">
    <w:name w:val="普通 (Web)"/>
    <w:qFormat/>
    <w:uiPriority w:val="0"/>
    <w:pPr>
      <w:spacing w:before="100" w:after="100"/>
    </w:pPr>
    <w:rPr>
      <w:rFonts w:ascii="宋体" w:hAnsi="Times New Roman" w:eastAsia="宋体" w:cs="Times New Roman"/>
      <w:sz w:val="24"/>
      <w:lang w:val="en-US" w:eastAsia="zh-CN" w:bidi="ar-SA"/>
    </w:rPr>
  </w:style>
  <w:style w:type="paragraph" w:customStyle="1" w:styleId="18">
    <w:name w:val="列出段落1"/>
    <w:qFormat/>
    <w:uiPriority w:val="0"/>
    <w:pPr>
      <w:widowControl w:val="0"/>
      <w:ind w:firstLine="200" w:firstLineChars="200"/>
      <w:jc w:val="both"/>
    </w:pPr>
    <w:rPr>
      <w:rFonts w:ascii="Calibri" w:hAnsi="Calibri" w:eastAsia="宋体" w:cs="Times New Roman"/>
      <w:kern w:val="2"/>
      <w:sz w:val="21"/>
      <w:szCs w:val="22"/>
      <w:lang w:val="en-US" w:eastAsia="zh-CN" w:bidi="ar-SA"/>
    </w:rPr>
  </w:style>
  <w:style w:type="paragraph" w:customStyle="1" w:styleId="19">
    <w:name w:val="样式"/>
    <w:qFormat/>
    <w:uiPriority w:val="0"/>
    <w:pPr>
      <w:widowControl w:val="0"/>
      <w:adjustRightInd w:val="0"/>
      <w:spacing w:line="360" w:lineRule="auto"/>
      <w:ind w:firstLine="482"/>
      <w:jc w:val="both"/>
      <w:textAlignment w:val="baseline"/>
    </w:pPr>
    <w:rPr>
      <w:rFonts w:ascii="Times New Roman" w:hAnsi="Times New Roman" w:eastAsia="宋体" w:cs="Times New Roman"/>
      <w:sz w:val="24"/>
      <w:lang w:val="en-US" w:eastAsia="zh-CN" w:bidi="ar-SA"/>
    </w:rPr>
  </w:style>
  <w:style w:type="paragraph" w:customStyle="1" w:styleId="20">
    <w:name w:val="修订1"/>
    <w:hidden/>
    <w:semiHidden/>
    <w:qFormat/>
    <w:uiPriority w:val="99"/>
    <w:rPr>
      <w:rFonts w:ascii="Times New Roman" w:hAnsi="Times New Roman" w:eastAsia="宋体" w:cs="Times New Roman"/>
      <w:kern w:val="2"/>
      <w:sz w:val="21"/>
      <w:szCs w:val="24"/>
      <w:lang w:val="en-US" w:eastAsia="zh-CN" w:bidi="ar-SA"/>
    </w:rPr>
  </w:style>
  <w:style w:type="character" w:customStyle="1" w:styleId="21">
    <w:name w:val="标题 1 Char"/>
    <w:basedOn w:val="12"/>
    <w:link w:val="2"/>
    <w:qFormat/>
    <w:uiPriority w:val="0"/>
    <w:rPr>
      <w:rFonts w:ascii="Times New Roman" w:hAnsi="Times New Roman" w:eastAsia="宋体" w:cs="Times New Roman"/>
      <w:b/>
      <w:bCs/>
      <w:kern w:val="44"/>
      <w:sz w:val="44"/>
      <w:szCs w:val="44"/>
    </w:rPr>
  </w:style>
  <w:style w:type="character" w:customStyle="1" w:styleId="22">
    <w:name w:val="脚注文本 Char"/>
    <w:basedOn w:val="12"/>
    <w:link w:val="10"/>
    <w:qFormat/>
    <w:uiPriority w:val="0"/>
    <w:rPr>
      <w:rFonts w:ascii="Times New Roman" w:hAnsi="Times New Roman" w:eastAsia="宋体" w:cs="Times New Roman"/>
      <w:sz w:val="18"/>
      <w:szCs w:val="18"/>
    </w:rPr>
  </w:style>
  <w:style w:type="character" w:customStyle="1" w:styleId="23">
    <w:name w:val="标题 2 Char"/>
    <w:basedOn w:val="12"/>
    <w:link w:val="3"/>
    <w:semiHidden/>
    <w:qFormat/>
    <w:uiPriority w:val="9"/>
    <w:rPr>
      <w:rFonts w:ascii="Cambria" w:hAnsi="Cambria" w:eastAsia="宋体" w:cs="黑体"/>
      <w:b/>
      <w:bCs/>
      <w:sz w:val="32"/>
      <w:szCs w:val="32"/>
    </w:rPr>
  </w:style>
  <w:style w:type="character" w:customStyle="1" w:styleId="24">
    <w:name w:val="正文文本 Char"/>
    <w:basedOn w:val="12"/>
    <w:link w:val="6"/>
    <w:qFormat/>
    <w:uiPriority w:val="0"/>
    <w:rPr>
      <w:rFonts w:ascii="Times New Roman" w:hAnsi="Times New Roman" w:eastAsia="宋体" w:cs="Times New Roman"/>
      <w:szCs w:val="24"/>
    </w:rPr>
  </w:style>
  <w:style w:type="character" w:customStyle="1" w:styleId="25">
    <w:name w:val="页眉 Char"/>
    <w:basedOn w:val="12"/>
    <w:link w:val="9"/>
    <w:qFormat/>
    <w:uiPriority w:val="99"/>
    <w:rPr>
      <w:rFonts w:ascii="Times New Roman" w:hAnsi="Times New Roman" w:eastAsia="宋体" w:cs="Times New Roman"/>
      <w:sz w:val="18"/>
      <w:szCs w:val="18"/>
    </w:rPr>
  </w:style>
  <w:style w:type="character" w:customStyle="1" w:styleId="26">
    <w:name w:val="页脚 Char"/>
    <w:basedOn w:val="12"/>
    <w:link w:val="8"/>
    <w:qFormat/>
    <w:uiPriority w:val="99"/>
    <w:rPr>
      <w:rFonts w:ascii="Times New Roman" w:hAnsi="Times New Roman" w:eastAsia="宋体" w:cs="Times New Roman"/>
      <w:sz w:val="18"/>
      <w:szCs w:val="18"/>
    </w:rPr>
  </w:style>
  <w:style w:type="character" w:customStyle="1" w:styleId="27">
    <w:name w:val="批注文字 Char"/>
    <w:basedOn w:val="12"/>
    <w:link w:val="5"/>
    <w:semiHidden/>
    <w:qFormat/>
    <w:uiPriority w:val="99"/>
    <w:rPr>
      <w:rFonts w:ascii="Times New Roman" w:hAnsi="Times New Roman" w:eastAsia="宋体" w:cs="Times New Roman"/>
      <w:szCs w:val="24"/>
    </w:rPr>
  </w:style>
  <w:style w:type="character" w:customStyle="1" w:styleId="28">
    <w:name w:val="批注主题 Char"/>
    <w:basedOn w:val="27"/>
    <w:link w:val="4"/>
    <w:semiHidden/>
    <w:qFormat/>
    <w:uiPriority w:val="99"/>
    <w:rPr>
      <w:rFonts w:ascii="Times New Roman" w:hAnsi="Times New Roman" w:eastAsia="宋体" w:cs="Times New Roman"/>
      <w:b/>
      <w:bCs/>
      <w:szCs w:val="24"/>
    </w:rPr>
  </w:style>
  <w:style w:type="character" w:customStyle="1" w:styleId="29">
    <w:name w:val="批注框文本 Char"/>
    <w:basedOn w:val="12"/>
    <w:link w:val="7"/>
    <w:semiHidden/>
    <w:qFormat/>
    <w:uiPriority w:val="99"/>
    <w:rPr>
      <w:rFonts w:ascii="Times New Roman" w:hAnsi="Times New Roman" w:eastAsia="宋体" w:cs="Times New Roman"/>
      <w:sz w:val="18"/>
      <w:szCs w:val="18"/>
    </w:rPr>
  </w:style>
  <w:style w:type="paragraph" w:customStyle="1" w:styleId="30">
    <w:name w:val="List Paragraph"/>
    <w:basedOn w:val="1"/>
    <w:qFormat/>
    <w:uiPriority w:val="34"/>
    <w:pPr>
      <w:widowControl/>
      <w:ind w:firstLine="420" w:firstLineChars="200"/>
      <w:jc w:val="left"/>
    </w:pPr>
    <w:rPr>
      <w:rFonts w:ascii="宋体" w:hAnsi="宋体" w:cs="宋体"/>
      <w:kern w:val="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465</Words>
  <Characters>2657</Characters>
  <Lines>22</Lines>
  <Paragraphs>6</Paragraphs>
  <ScaleCrop>false</ScaleCrop>
  <LinksUpToDate>false</LinksUpToDate>
  <CharactersWithSpaces>3116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2017-03-09T08:38:00Z</dcterms:created>
  <dc:creator>qzy3472</dc:creator>
  <cp:lastModifiedBy>10041589</cp:lastModifiedBy>
  <dcterms:modified xsi:type="dcterms:W3CDTF">2017-09-14T07:32:06Z</dcterms:modified>
  <dc:title>配件技术要求</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